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contextualSpacing/>
        <w:rPr>
          <w:rFonts w:ascii="黑体" w:hAnsi="黑体" w:eastAsia="黑体"/>
          <w:color w:val="000000"/>
          <w:sz w:val="32"/>
          <w:szCs w:val="32"/>
        </w:rPr>
      </w:pPr>
      <w:r>
        <w:rPr>
          <w:rFonts w:hint="eastAsia" w:ascii="黑体" w:hAnsi="黑体" w:eastAsia="黑体"/>
          <w:color w:val="000000"/>
          <w:sz w:val="32"/>
          <w:szCs w:val="32"/>
        </w:rPr>
        <w:t>附件1</w:t>
      </w:r>
    </w:p>
    <w:p>
      <w:pPr>
        <w:jc w:val="center"/>
        <w:rPr>
          <w:rFonts w:ascii="方正小标宋简体" w:eastAsia="方正小标宋简体"/>
          <w:color w:val="000000"/>
          <w:sz w:val="44"/>
          <w:szCs w:val="44"/>
        </w:rPr>
      </w:pPr>
      <w:r>
        <w:rPr>
          <w:rFonts w:hint="eastAsia" w:ascii="方正小标宋简体" w:eastAsia="方正小标宋简体"/>
          <w:color w:val="000000"/>
          <w:sz w:val="44"/>
          <w:szCs w:val="44"/>
        </w:rPr>
        <w:t>疫苗质量安全事件分级标准和响应级别</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6504"/>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07"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事件类别</w:t>
            </w:r>
          </w:p>
        </w:tc>
        <w:tc>
          <w:tcPr>
            <w:tcW w:w="6504"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分    级    标    准</w:t>
            </w:r>
          </w:p>
        </w:tc>
        <w:tc>
          <w:tcPr>
            <w:tcW w:w="1163"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响应级别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07"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特别重大疫苗质量安全事件</w:t>
            </w:r>
          </w:p>
        </w:tc>
        <w:tc>
          <w:tcPr>
            <w:tcW w:w="6504" w:type="dxa"/>
            <w:noWrap w:val="0"/>
            <w:vAlign w:val="center"/>
          </w:tcPr>
          <w:p>
            <w:pPr>
              <w:spacing w:line="320" w:lineRule="exact"/>
              <w:rPr>
                <w:rFonts w:hint="eastAsia" w:ascii="宋体" w:hAnsi="宋体" w:cs="宋体"/>
                <w:color w:val="000000"/>
                <w:szCs w:val="21"/>
              </w:rPr>
            </w:pPr>
            <w:r>
              <w:rPr>
                <w:rFonts w:hint="eastAsia" w:ascii="宋体" w:hAnsi="宋体" w:cs="宋体"/>
                <w:color w:val="000000"/>
                <w:szCs w:val="21"/>
              </w:rPr>
              <w:t>符合下列情形之一的：</w:t>
            </w:r>
          </w:p>
          <w:p>
            <w:pPr>
              <w:spacing w:line="320" w:lineRule="exact"/>
              <w:rPr>
                <w:rFonts w:hint="eastAsia" w:ascii="宋体" w:hAnsi="宋体" w:cs="宋体"/>
                <w:color w:val="000000"/>
                <w:szCs w:val="21"/>
              </w:rPr>
            </w:pPr>
            <w:r>
              <w:rPr>
                <w:rFonts w:hint="eastAsia" w:ascii="宋体" w:hAnsi="宋体" w:cs="宋体"/>
                <w:color w:val="000000"/>
                <w:szCs w:val="21"/>
              </w:rPr>
              <w:t>1.同一批号疫苗短期内引起5例以上患者死亡，疑似与质量相关的事件；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2.在相对集中的时间和区域内，批号相对集中的同一疫苗引起临床表现相似的，且罕见或非预期的不良事件的人数超过20人；或者引起特别严重不良事件（可能对人体造成永久性伤残、对器官功能造成永久性损伤或危及生命）超过5人，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3.其他危害特别严重且引发社会影响的疫苗质量安全突发事件。</w:t>
            </w:r>
          </w:p>
        </w:tc>
        <w:tc>
          <w:tcPr>
            <w:tcW w:w="1163" w:type="dxa"/>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Ⅰ级响应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507"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重大疫苗</w:t>
            </w:r>
          </w:p>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质量安全事件</w:t>
            </w:r>
          </w:p>
        </w:tc>
        <w:tc>
          <w:tcPr>
            <w:tcW w:w="6504" w:type="dxa"/>
            <w:noWrap w:val="0"/>
            <w:vAlign w:val="center"/>
          </w:tcPr>
          <w:p>
            <w:pPr>
              <w:spacing w:line="320" w:lineRule="exact"/>
              <w:rPr>
                <w:rFonts w:hint="eastAsia" w:ascii="宋体" w:hAnsi="宋体" w:cs="宋体"/>
                <w:color w:val="000000"/>
                <w:szCs w:val="21"/>
              </w:rPr>
            </w:pPr>
            <w:r>
              <w:rPr>
                <w:rFonts w:hint="eastAsia" w:ascii="宋体" w:hAnsi="宋体" w:cs="宋体"/>
                <w:color w:val="000000"/>
                <w:szCs w:val="21"/>
              </w:rPr>
              <w:t>符合下列情形之一的：</w:t>
            </w:r>
          </w:p>
          <w:p>
            <w:pPr>
              <w:spacing w:line="320" w:lineRule="exact"/>
              <w:rPr>
                <w:rFonts w:hint="eastAsia" w:ascii="宋体" w:hAnsi="宋体" w:cs="宋体"/>
                <w:color w:val="000000"/>
                <w:szCs w:val="21"/>
              </w:rPr>
            </w:pPr>
            <w:r>
              <w:rPr>
                <w:rFonts w:hint="eastAsia" w:ascii="宋体" w:hAnsi="宋体" w:cs="宋体"/>
                <w:color w:val="000000"/>
                <w:szCs w:val="21"/>
              </w:rPr>
              <w:t>1.同一批号疫苗短期内引起2例以上、5例以下患者死亡，疑似与质量相关的事件；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2.在相对集中的时间和区域内，批号相对集中的同一疫苗引起临床表现相似的，且罕见或非预期的不良事件的人数超过10人、不多于20人；或者引起特别严重不良事件（可能对人体造成永久性伤残、对器官功能造成永久性损伤或危及生命）超过3人、不多于5人，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3.确认出现质量问题，涉及2个以上省（区、市）的；</w:t>
            </w:r>
          </w:p>
          <w:p>
            <w:pPr>
              <w:spacing w:line="320" w:lineRule="exact"/>
              <w:rPr>
                <w:rFonts w:hint="eastAsia" w:ascii="宋体" w:hAnsi="宋体" w:cs="宋体"/>
                <w:color w:val="000000"/>
                <w:szCs w:val="21"/>
              </w:rPr>
            </w:pPr>
            <w:r>
              <w:rPr>
                <w:rFonts w:hint="eastAsia" w:ascii="宋体" w:hAnsi="宋体" w:cs="宋体"/>
                <w:color w:val="000000"/>
                <w:szCs w:val="21"/>
              </w:rPr>
              <w:t>4.其他危害严重且引发社会影响的疫苗质量安全突发事件。</w:t>
            </w:r>
          </w:p>
        </w:tc>
        <w:tc>
          <w:tcPr>
            <w:tcW w:w="1163" w:type="dxa"/>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Ⅱ级响应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1507"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较大疫苗</w:t>
            </w:r>
          </w:p>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质量安全事件</w:t>
            </w:r>
          </w:p>
        </w:tc>
        <w:tc>
          <w:tcPr>
            <w:tcW w:w="6504" w:type="dxa"/>
            <w:noWrap w:val="0"/>
            <w:vAlign w:val="center"/>
          </w:tcPr>
          <w:p>
            <w:pPr>
              <w:spacing w:line="320" w:lineRule="exact"/>
              <w:rPr>
                <w:rFonts w:hint="eastAsia" w:ascii="宋体" w:hAnsi="宋体" w:cs="宋体"/>
                <w:color w:val="000000"/>
                <w:szCs w:val="21"/>
              </w:rPr>
            </w:pPr>
            <w:r>
              <w:rPr>
                <w:rFonts w:hint="eastAsia" w:ascii="宋体" w:hAnsi="宋体" w:cs="宋体"/>
                <w:color w:val="000000"/>
                <w:szCs w:val="21"/>
              </w:rPr>
              <w:t>符合下列情形之一的：</w:t>
            </w:r>
          </w:p>
          <w:p>
            <w:pPr>
              <w:spacing w:line="320" w:lineRule="exact"/>
              <w:rPr>
                <w:rFonts w:hint="eastAsia" w:ascii="宋体" w:hAnsi="宋体" w:cs="宋体"/>
                <w:color w:val="000000"/>
                <w:szCs w:val="21"/>
              </w:rPr>
            </w:pPr>
            <w:r>
              <w:rPr>
                <w:rFonts w:hint="eastAsia" w:ascii="宋体" w:hAnsi="宋体" w:cs="宋体"/>
                <w:color w:val="000000"/>
                <w:szCs w:val="21"/>
              </w:rPr>
              <w:t>1.同一批号疫苗短期内引起1例患者死亡，疑似与质量相关的事件；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2.在相对集中的时间和区域内，批号相对集中的同一疫苗引起临床表现相似的，且罕见或非预期的不良事件的人数超过5人、不多于10人；或者引起特别严重不良事件（可能对人体造成永久性伤残、对器官功能造成永久性损伤或危及生命）超过2人，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3.确认出现质量问题，涉及自治区的；</w:t>
            </w:r>
          </w:p>
          <w:p>
            <w:pPr>
              <w:spacing w:line="320" w:lineRule="exact"/>
              <w:rPr>
                <w:rFonts w:hint="eastAsia" w:ascii="宋体" w:hAnsi="宋体" w:cs="宋体"/>
                <w:color w:val="000000"/>
                <w:szCs w:val="21"/>
              </w:rPr>
            </w:pPr>
            <w:r>
              <w:rPr>
                <w:rFonts w:hint="eastAsia" w:ascii="宋体" w:hAnsi="宋体" w:cs="宋体"/>
                <w:color w:val="000000"/>
                <w:szCs w:val="21"/>
              </w:rPr>
              <w:t>4.其他危害较大且引发社会影响局限于自治区行政区域内的疫苗质量安全事件。</w:t>
            </w:r>
          </w:p>
        </w:tc>
        <w:tc>
          <w:tcPr>
            <w:tcW w:w="1163" w:type="dxa"/>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Ⅲ级响应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507" w:type="dxa"/>
            <w:noWrap w:val="0"/>
            <w:vAlign w:val="center"/>
          </w:tcPr>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一般疫苗</w:t>
            </w:r>
          </w:p>
          <w:p>
            <w:pPr>
              <w:spacing w:line="320" w:lineRule="exact"/>
              <w:jc w:val="center"/>
              <w:rPr>
                <w:rFonts w:hint="eastAsia" w:ascii="黑体" w:hAnsi="黑体" w:eastAsia="黑体" w:cs="黑体"/>
                <w:color w:val="000000"/>
                <w:szCs w:val="21"/>
              </w:rPr>
            </w:pPr>
            <w:r>
              <w:rPr>
                <w:rFonts w:hint="eastAsia" w:ascii="黑体" w:hAnsi="黑体" w:eastAsia="黑体" w:cs="黑体"/>
                <w:color w:val="000000"/>
                <w:szCs w:val="21"/>
              </w:rPr>
              <w:t>质量安全事件</w:t>
            </w:r>
          </w:p>
        </w:tc>
        <w:tc>
          <w:tcPr>
            <w:tcW w:w="6504" w:type="dxa"/>
            <w:noWrap w:val="0"/>
            <w:vAlign w:val="center"/>
          </w:tcPr>
          <w:p>
            <w:pPr>
              <w:spacing w:line="320" w:lineRule="exact"/>
              <w:rPr>
                <w:rFonts w:hint="eastAsia" w:ascii="宋体" w:hAnsi="宋体" w:cs="宋体"/>
                <w:color w:val="000000"/>
                <w:szCs w:val="21"/>
              </w:rPr>
            </w:pPr>
            <w:r>
              <w:rPr>
                <w:rFonts w:hint="eastAsia" w:ascii="宋体" w:hAnsi="宋体" w:cs="宋体"/>
                <w:color w:val="000000"/>
                <w:szCs w:val="21"/>
              </w:rPr>
              <w:t>符合下列情形之一的：</w:t>
            </w:r>
          </w:p>
          <w:p>
            <w:pPr>
              <w:spacing w:line="320" w:lineRule="exact"/>
              <w:rPr>
                <w:rFonts w:hint="eastAsia" w:ascii="宋体" w:hAnsi="宋体" w:cs="宋体"/>
                <w:color w:val="000000"/>
                <w:szCs w:val="21"/>
              </w:rPr>
            </w:pPr>
            <w:r>
              <w:rPr>
                <w:rFonts w:hint="eastAsia" w:ascii="宋体" w:hAnsi="宋体" w:cs="宋体"/>
                <w:color w:val="000000"/>
                <w:szCs w:val="21"/>
              </w:rPr>
              <w:t>1.在相对集中的时间和区域内，批号相对集中的同一疫苗引起临床表现相似的，且罕见或非预期的不良事件的人数超过3人、不多于5人；或者引起特别严重不良事件（可能对人体造成永久性伤残、对器官功能造成永久性损伤或危及生命）超过1人，疑似与质量相关的事件；</w:t>
            </w:r>
          </w:p>
          <w:p>
            <w:pPr>
              <w:spacing w:line="320" w:lineRule="exact"/>
              <w:rPr>
                <w:rFonts w:hint="eastAsia" w:ascii="宋体" w:hAnsi="宋体" w:cs="宋体"/>
                <w:color w:val="000000"/>
                <w:szCs w:val="21"/>
              </w:rPr>
            </w:pPr>
            <w:r>
              <w:rPr>
                <w:rFonts w:hint="eastAsia" w:ascii="宋体" w:hAnsi="宋体" w:cs="宋体"/>
                <w:color w:val="000000"/>
                <w:szCs w:val="21"/>
              </w:rPr>
              <w:t>2.其他危害一般的疫苗质量安全事件。</w:t>
            </w:r>
          </w:p>
        </w:tc>
        <w:tc>
          <w:tcPr>
            <w:tcW w:w="1163" w:type="dxa"/>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Ⅳ级响应</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FD400"/>
    <w:rsid w:val="BF7FD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2020-09-24T16:41:00Z</dcterms:created>
  <dc:creator>thtf</dc:creator>
  <cp:lastModifiedBy>thtf</cp:lastModifiedBy>
  <dcterms:modified xsi:type="dcterms:W3CDTF">2020-09-24T16:42:15Z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