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80" w:lineRule="exact"/>
        <w:ind w:left="0" w:leftChars="0" w:right="0" w:rightChars="0"/>
        <w:textAlignment w:val="auto"/>
        <w:rPr>
          <w:rFonts w:hint="eastAsia"/>
        </w:rPr>
      </w:pPr>
    </w:p>
    <w:p>
      <w:pPr>
        <w:keepNext w:val="0"/>
        <w:keepLines w:val="0"/>
        <w:pageBreakBefore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方正小标宋简体" w:hAnsi="宋体" w:eastAsia="方正小标宋简体"/>
          <w:b w:val="0"/>
          <w:bCs/>
          <w:sz w:val="44"/>
          <w:szCs w:val="44"/>
          <w:lang w:eastAsia="zh-CN"/>
        </w:rPr>
      </w:pPr>
      <w:bookmarkStart w:id="0" w:name="缓急"/>
      <w:bookmarkEnd w:id="0"/>
      <w:bookmarkStart w:id="1" w:name="标题"/>
      <w:bookmarkEnd w:id="1"/>
      <w:r>
        <w:rPr>
          <w:rFonts w:hint="eastAsia" w:ascii="方正小标宋简体" w:hAnsi="宋体" w:eastAsia="方正小标宋简体"/>
          <w:b w:val="0"/>
          <w:bCs/>
          <w:sz w:val="44"/>
          <w:szCs w:val="44"/>
          <w:lang w:eastAsia="zh-CN"/>
        </w:rPr>
        <w:t>内蒙古自治区人民政府关于调整</w:t>
      </w:r>
    </w:p>
    <w:p>
      <w:pPr>
        <w:keepNext w:val="0"/>
        <w:keepLines w:val="0"/>
        <w:pageBreakBefore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方正小标宋简体" w:hAnsi="宋体" w:eastAsia="方正小标宋简体"/>
          <w:b w:val="0"/>
          <w:bCs/>
          <w:sz w:val="44"/>
          <w:szCs w:val="44"/>
          <w:lang w:eastAsia="zh-CN"/>
        </w:rPr>
      </w:pPr>
      <w:r>
        <w:rPr>
          <w:rFonts w:hint="eastAsia" w:ascii="方正小标宋简体" w:hAnsi="宋体" w:eastAsia="方正小标宋简体"/>
          <w:b w:val="0"/>
          <w:bCs/>
          <w:sz w:val="44"/>
          <w:szCs w:val="44"/>
          <w:lang w:eastAsia="zh-CN"/>
        </w:rPr>
        <w:t>乌海及周边地区相关建设项目环境影响</w:t>
      </w:r>
    </w:p>
    <w:p>
      <w:pPr>
        <w:keepNext w:val="0"/>
        <w:keepLines w:val="0"/>
        <w:pageBreakBefore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方正小标宋简体" w:hAnsi="宋体" w:eastAsia="方正小标宋简体"/>
          <w:b w:val="0"/>
          <w:bCs/>
          <w:sz w:val="44"/>
          <w:szCs w:val="44"/>
          <w:lang w:eastAsia="zh-CN"/>
        </w:rPr>
      </w:pPr>
      <w:r>
        <w:rPr>
          <w:rFonts w:hint="eastAsia" w:ascii="方正小标宋简体" w:hAnsi="宋体" w:eastAsia="方正小标宋简体"/>
          <w:b w:val="0"/>
          <w:bCs/>
          <w:sz w:val="44"/>
          <w:szCs w:val="44"/>
          <w:lang w:eastAsia="zh-CN"/>
        </w:rPr>
        <w:t>评价文件（非辐射类）分级审批</w:t>
      </w:r>
    </w:p>
    <w:p>
      <w:pPr>
        <w:keepNext w:val="0"/>
        <w:keepLines w:val="0"/>
        <w:pageBreakBefore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方正小标宋简体" w:hAnsi="宋体" w:eastAsia="方正小标宋简体"/>
          <w:b w:val="0"/>
          <w:bCs/>
          <w:sz w:val="44"/>
          <w:szCs w:val="44"/>
          <w:lang w:eastAsia="zh-CN"/>
        </w:rPr>
      </w:pPr>
      <w:r>
        <w:rPr>
          <w:rFonts w:hint="eastAsia" w:ascii="方正小标宋简体" w:hAnsi="宋体" w:eastAsia="方正小标宋简体"/>
          <w:b w:val="0"/>
          <w:bCs/>
          <w:sz w:val="44"/>
          <w:szCs w:val="44"/>
          <w:lang w:eastAsia="zh-CN"/>
        </w:rPr>
        <w:t>权限有关事宜的通知</w:t>
      </w:r>
    </w:p>
    <w:p>
      <w:pPr>
        <w:keepNext w:val="0"/>
        <w:keepLines w:val="0"/>
        <w:pageBreakBefore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方正小标宋简体" w:hAnsi="宋体" w:eastAsia="方正小标宋简体"/>
          <w:b w:val="0"/>
          <w:bCs/>
          <w:sz w:val="44"/>
          <w:szCs w:val="44"/>
          <w:lang w:eastAsia="zh-CN"/>
        </w:rPr>
      </w:pPr>
    </w:p>
    <w:p>
      <w:pPr>
        <w:keepNext w:val="0"/>
        <w:keepLines w:val="0"/>
        <w:pageBreakBefore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内政字〔2021〕29号</w:t>
      </w:r>
    </w:p>
    <w:p>
      <w:pPr>
        <w:keepNext w:val="0"/>
        <w:keepLines w:val="0"/>
        <w:pageBreakBefore w:val="0"/>
        <w:kinsoku/>
        <w:wordWrap/>
        <w:overflowPunct/>
        <w:topLinePunct w:val="0"/>
        <w:autoSpaceDE/>
        <w:autoSpaceDN/>
        <w:bidi w:val="0"/>
        <w:adjustRightInd/>
        <w:snapToGrid/>
        <w:spacing w:line="500" w:lineRule="exact"/>
        <w:ind w:left="0" w:leftChars="0" w:right="0" w:rightChars="0"/>
        <w:jc w:val="center"/>
        <w:textAlignment w:val="auto"/>
        <w:outlineLvl w:val="9"/>
        <w:rPr>
          <w:rFonts w:hint="eastAsia" w:ascii="仿宋_GB2312" w:eastAsia="仿宋_GB2312"/>
          <w:sz w:val="32"/>
          <w:szCs w:val="32"/>
          <w:lang w:eastAsia="zh-CN"/>
        </w:rPr>
      </w:pPr>
    </w:p>
    <w:p>
      <w:pPr>
        <w:keepNext w:val="0"/>
        <w:keepLines w:val="0"/>
        <w:pageBreakBefore w:val="0"/>
        <w:shd w:val="clear" w:color="auto" w:fill="FFFFFF"/>
        <w:kinsoku/>
        <w:wordWrap/>
        <w:overflowPunct/>
        <w:topLinePunct w:val="0"/>
        <w:autoSpaceDE/>
        <w:autoSpaceDN/>
        <w:bidi w:val="0"/>
        <w:adjustRightInd/>
        <w:snapToGrid/>
        <w:spacing w:line="500" w:lineRule="exact"/>
        <w:ind w:left="0" w:leftChars="0" w:right="0" w:rightChars="0"/>
        <w:jc w:val="left"/>
        <w:textAlignment w:val="auto"/>
        <w:outlineLvl w:val="9"/>
        <w:rPr>
          <w:rFonts w:hint="eastAsia" w:ascii="方正仿宋_GBK" w:hAnsi="方正仿宋_GBK" w:eastAsia="方正仿宋_GBK" w:cs="方正仿宋_GBK"/>
          <w:bCs/>
          <w:color w:val="000000"/>
          <w:spacing w:val="7"/>
          <w:sz w:val="32"/>
          <w:szCs w:val="32"/>
        </w:rPr>
      </w:pPr>
      <w:r>
        <w:rPr>
          <w:rFonts w:hint="eastAsia" w:ascii="方正仿宋_GBK" w:hAnsi="方正仿宋_GBK" w:eastAsia="方正仿宋_GBK" w:cs="方正仿宋_GBK"/>
          <w:bCs/>
          <w:color w:val="000000"/>
          <w:spacing w:val="7"/>
          <w:sz w:val="32"/>
          <w:szCs w:val="32"/>
        </w:rPr>
        <w:t>各盟行政公署、市人民政府，自治区各委、办、厅、局，各大企业、事业单位：</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696"/>
        <w:textAlignment w:val="auto"/>
        <w:outlineLvl w:val="9"/>
        <w:rPr>
          <w:rFonts w:hint="eastAsia" w:ascii="方正仿宋_GBK" w:hAnsi="方正仿宋_GBK" w:eastAsia="方正仿宋_GBK" w:cs="方正仿宋_GBK"/>
          <w:color w:val="000000"/>
          <w:spacing w:val="7"/>
          <w:sz w:val="32"/>
          <w:szCs w:val="32"/>
          <w:lang w:eastAsia="zh-CN"/>
        </w:rPr>
      </w:pPr>
      <w:r>
        <w:rPr>
          <w:rFonts w:hint="eastAsia" w:ascii="方正仿宋_GBK" w:hAnsi="方正仿宋_GBK" w:eastAsia="方正仿宋_GBK" w:cs="方正仿宋_GBK"/>
          <w:color w:val="000000"/>
          <w:sz w:val="32"/>
          <w:szCs w:val="32"/>
        </w:rPr>
        <w:t>为</w:t>
      </w:r>
      <w:r>
        <w:rPr>
          <w:rFonts w:hint="eastAsia" w:ascii="方正仿宋_GBK" w:hAnsi="方正仿宋_GBK" w:eastAsia="方正仿宋_GBK" w:cs="方正仿宋_GBK"/>
          <w:color w:val="000000"/>
          <w:sz w:val="32"/>
          <w:szCs w:val="32"/>
          <w:lang w:eastAsia="zh-CN"/>
        </w:rPr>
        <w:t>认真</w:t>
      </w:r>
      <w:r>
        <w:rPr>
          <w:rFonts w:hint="eastAsia" w:ascii="方正仿宋_GBK" w:hAnsi="方正仿宋_GBK" w:eastAsia="方正仿宋_GBK" w:cs="方正仿宋_GBK"/>
          <w:color w:val="000000"/>
          <w:sz w:val="32"/>
          <w:szCs w:val="32"/>
        </w:rPr>
        <w:t>落实《</w:t>
      </w:r>
      <w:r>
        <w:rPr>
          <w:rFonts w:hint="eastAsia" w:ascii="方正仿宋_GBK" w:hAnsi="方正仿宋_GBK" w:eastAsia="方正仿宋_GBK" w:cs="方正仿宋_GBK"/>
          <w:color w:val="000000"/>
          <w:sz w:val="32"/>
          <w:szCs w:val="32"/>
          <w:lang w:eastAsia="zh-CN"/>
        </w:rPr>
        <w:t>内蒙古</w:t>
      </w:r>
      <w:r>
        <w:rPr>
          <w:rFonts w:hint="eastAsia" w:ascii="方正仿宋_GBK" w:hAnsi="方正仿宋_GBK" w:eastAsia="方正仿宋_GBK" w:cs="方正仿宋_GBK"/>
          <w:color w:val="000000"/>
          <w:spacing w:val="7"/>
          <w:sz w:val="32"/>
          <w:szCs w:val="32"/>
        </w:rPr>
        <w:t>自</w:t>
      </w:r>
      <w:r>
        <w:rPr>
          <w:rFonts w:hint="eastAsia" w:ascii="方正仿宋_GBK" w:hAnsi="方正仿宋_GBK" w:eastAsia="方正仿宋_GBK" w:cs="方正仿宋_GBK"/>
          <w:color w:val="000000"/>
          <w:sz w:val="32"/>
          <w:szCs w:val="32"/>
        </w:rPr>
        <w:t>治区人民政府关于印发乌海及周边地区生态环境综合治理实施方案的通知》（内政发〔2020〕26号）要求，</w:t>
      </w:r>
      <w:r>
        <w:rPr>
          <w:rFonts w:hint="eastAsia" w:ascii="方正仿宋_GBK" w:hAnsi="方正仿宋_GBK" w:eastAsia="方正仿宋_GBK" w:cs="方正仿宋_GBK"/>
          <w:color w:val="000000"/>
          <w:sz w:val="32"/>
          <w:szCs w:val="32"/>
          <w:lang w:eastAsia="zh-CN"/>
        </w:rPr>
        <w:t>进一步</w:t>
      </w:r>
      <w:r>
        <w:rPr>
          <w:rFonts w:hint="eastAsia" w:ascii="方正仿宋_GBK" w:hAnsi="方正仿宋_GBK" w:eastAsia="方正仿宋_GBK" w:cs="方正仿宋_GBK"/>
          <w:color w:val="000000"/>
          <w:sz w:val="32"/>
          <w:szCs w:val="32"/>
        </w:rPr>
        <w:t>明确乌海及周边地区建设项目环评管理工作权责，根据《中华人民共和国环境影响评价法》</w:t>
      </w:r>
      <w:r>
        <w:rPr>
          <w:rFonts w:hint="eastAsia" w:ascii="方正仿宋_GBK" w:hAnsi="方正仿宋_GBK" w:eastAsia="方正仿宋_GBK" w:cs="方正仿宋_GBK"/>
          <w:color w:val="000000"/>
          <w:spacing w:val="7"/>
          <w:sz w:val="32"/>
          <w:szCs w:val="32"/>
        </w:rPr>
        <w:t>有关规定，</w:t>
      </w:r>
      <w:r>
        <w:rPr>
          <w:rFonts w:hint="eastAsia" w:ascii="方正仿宋_GBK" w:hAnsi="方正仿宋_GBK" w:eastAsia="方正仿宋_GBK" w:cs="方正仿宋_GBK"/>
          <w:color w:val="000000"/>
          <w:spacing w:val="7"/>
          <w:sz w:val="32"/>
          <w:szCs w:val="32"/>
          <w:lang w:eastAsia="zh-CN"/>
        </w:rPr>
        <w:t>现就调整</w:t>
      </w:r>
      <w:r>
        <w:rPr>
          <w:rFonts w:hint="eastAsia" w:ascii="方正仿宋_GBK" w:hAnsi="方正仿宋_GBK" w:eastAsia="方正仿宋_GBK" w:cs="方正仿宋_GBK"/>
          <w:color w:val="000000"/>
          <w:spacing w:val="7"/>
          <w:sz w:val="32"/>
          <w:szCs w:val="32"/>
        </w:rPr>
        <w:t>乌海及周边地区</w:t>
      </w:r>
      <w:r>
        <w:rPr>
          <w:rFonts w:hint="eastAsia" w:ascii="方正仿宋_GBK" w:hAnsi="方正仿宋_GBK" w:eastAsia="方正仿宋_GBK" w:cs="方正仿宋_GBK"/>
          <w:color w:val="000000"/>
          <w:spacing w:val="7"/>
          <w:sz w:val="32"/>
          <w:szCs w:val="32"/>
          <w:lang w:eastAsia="zh-CN"/>
        </w:rPr>
        <w:t>相关</w:t>
      </w:r>
      <w:r>
        <w:rPr>
          <w:rStyle w:val="13"/>
          <w:rFonts w:hint="eastAsia" w:ascii="方正仿宋_GBK" w:hAnsi="方正仿宋_GBK" w:eastAsia="方正仿宋_GBK" w:cs="方正仿宋_GBK"/>
          <w:sz w:val="32"/>
          <w:szCs w:val="32"/>
        </w:rPr>
        <w:t>建设项目环境影响</w:t>
      </w:r>
      <w:r>
        <w:rPr>
          <w:rStyle w:val="13"/>
          <w:rFonts w:hint="eastAsia" w:ascii="方正仿宋_GBK" w:hAnsi="方正仿宋_GBK" w:eastAsia="方正仿宋_GBK" w:cs="方正仿宋_GBK"/>
          <w:sz w:val="32"/>
          <w:szCs w:val="32"/>
          <w:lang w:eastAsia="zh-CN"/>
        </w:rPr>
        <w:t>评价文件（非辐射类）分级审批权限</w:t>
      </w:r>
      <w:r>
        <w:rPr>
          <w:rFonts w:hint="eastAsia" w:ascii="方正仿宋_GBK" w:hAnsi="方正仿宋_GBK" w:eastAsia="方正仿宋_GBK" w:cs="方正仿宋_GBK"/>
          <w:color w:val="000000"/>
          <w:spacing w:val="7"/>
          <w:sz w:val="32"/>
          <w:szCs w:val="32"/>
          <w:lang w:eastAsia="zh-CN"/>
        </w:rPr>
        <w:t>有关事宜通知如下。</w:t>
      </w:r>
    </w:p>
    <w:p>
      <w:pPr>
        <w:keepNext w:val="0"/>
        <w:keepLines w:val="0"/>
        <w:pageBreakBefore w:val="0"/>
        <w:numPr>
          <w:ilvl w:val="0"/>
          <w:numId w:val="1"/>
        </w:numPr>
        <w:kinsoku/>
        <w:wordWrap/>
        <w:overflowPunct/>
        <w:topLinePunct w:val="0"/>
        <w:autoSpaceDE/>
        <w:autoSpaceDN/>
        <w:bidi w:val="0"/>
        <w:adjustRightInd/>
        <w:snapToGrid/>
        <w:spacing w:line="500" w:lineRule="exact"/>
        <w:ind w:left="0" w:leftChars="0" w:right="0" w:rightChars="0" w:firstLine="696"/>
        <w:textAlignment w:val="auto"/>
        <w:outlineLvl w:val="9"/>
        <w:rPr>
          <w:rStyle w:val="13"/>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color w:val="000000"/>
          <w:spacing w:val="7"/>
          <w:sz w:val="32"/>
          <w:szCs w:val="32"/>
        </w:rPr>
        <w:t>将乌海及周边地区新建的</w:t>
      </w:r>
      <w:r>
        <w:rPr>
          <w:rStyle w:val="13"/>
          <w:rFonts w:hint="eastAsia" w:ascii="方正仿宋_GBK" w:hAnsi="方正仿宋_GBK" w:eastAsia="方正仿宋_GBK" w:cs="方正仿宋_GBK"/>
          <w:sz w:val="32"/>
          <w:szCs w:val="32"/>
        </w:rPr>
        <w:t>以下类型建设项目环境影响报告书</w:t>
      </w:r>
      <w:r>
        <w:rPr>
          <w:rStyle w:val="13"/>
          <w:rFonts w:hint="eastAsia" w:ascii="方正仿宋_GBK" w:hAnsi="方正仿宋_GBK" w:eastAsia="方正仿宋_GBK" w:cs="方正仿宋_GBK"/>
          <w:sz w:val="32"/>
          <w:szCs w:val="32"/>
          <w:lang w:eastAsia="zh-CN"/>
        </w:rPr>
        <w:t>的</w:t>
      </w:r>
      <w:r>
        <w:rPr>
          <w:rFonts w:hint="eastAsia" w:ascii="方正仿宋_GBK" w:hAnsi="方正仿宋_GBK" w:eastAsia="方正仿宋_GBK" w:cs="方正仿宋_GBK"/>
          <w:color w:val="000000"/>
          <w:spacing w:val="7"/>
          <w:sz w:val="32"/>
          <w:szCs w:val="32"/>
        </w:rPr>
        <w:t>审批</w:t>
      </w:r>
      <w:r>
        <w:rPr>
          <w:rFonts w:hint="eastAsia" w:ascii="方正仿宋_GBK" w:hAnsi="方正仿宋_GBK" w:eastAsia="方正仿宋_GBK" w:cs="方正仿宋_GBK"/>
          <w:color w:val="000000"/>
          <w:spacing w:val="7"/>
          <w:sz w:val="32"/>
          <w:szCs w:val="32"/>
          <w:lang w:eastAsia="zh-CN"/>
        </w:rPr>
        <w:t>权限</w:t>
      </w:r>
      <w:r>
        <w:rPr>
          <w:rFonts w:hint="eastAsia" w:ascii="方正仿宋_GBK" w:hAnsi="方正仿宋_GBK" w:eastAsia="方正仿宋_GBK" w:cs="方正仿宋_GBK"/>
          <w:color w:val="000000"/>
          <w:spacing w:val="7"/>
          <w:sz w:val="32"/>
          <w:szCs w:val="32"/>
        </w:rPr>
        <w:t>调整至自治区生态环境厅，具体包括：</w:t>
      </w:r>
      <w:r>
        <w:rPr>
          <w:rStyle w:val="13"/>
          <w:rFonts w:hint="eastAsia" w:ascii="方正仿宋_GBK" w:hAnsi="方正仿宋_GBK" w:eastAsia="方正仿宋_GBK" w:cs="方正仿宋_GBK"/>
          <w:sz w:val="32"/>
          <w:szCs w:val="32"/>
        </w:rPr>
        <w:t>生态环境部审批权限以外的原油加工及石油制品制造项目（2511）、煤制合成气生产项目（2522）和煤制液体燃料生产项目（2523），其他原油制造（2519），炼焦项目（2521），氮肥制造项目（2621），磷肥制造项目（2622），电石制造，水泥熟料生产，平板玻璃制造（3041），铁合金冶炼（3140），危险废物集中焚烧项目（不含医疗废物处置项目和水泥窑协同处置危险废物项目），危险废物填埋处置项目</w:t>
      </w:r>
      <w:r>
        <w:rPr>
          <w:rStyle w:val="13"/>
          <w:rFonts w:hint="eastAsia" w:ascii="方正仿宋_GBK" w:hAnsi="方正仿宋_GBK" w:eastAsia="方正仿宋_GBK" w:cs="方正仿宋_GBK"/>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500" w:lineRule="exact"/>
        <w:ind w:left="0" w:leftChars="0" w:right="0" w:rightChars="0" w:firstLine="640" w:firstLineChars="200"/>
        <w:textAlignment w:val="auto"/>
        <w:outlineLvl w:val="9"/>
        <w:rPr>
          <w:rFonts w:hint="eastAsia" w:ascii="方正仿宋_GBK" w:hAnsi="方正仿宋_GBK" w:eastAsia="方正仿宋_GBK" w:cs="方正仿宋_GBK"/>
          <w:color w:val="000000"/>
          <w:sz w:val="32"/>
          <w:szCs w:val="32"/>
        </w:rPr>
      </w:pPr>
      <w:r>
        <w:rPr>
          <w:rStyle w:val="13"/>
          <w:rFonts w:hint="eastAsia" w:ascii="方正仿宋_GBK" w:hAnsi="方正仿宋_GBK" w:eastAsia="方正仿宋_GBK" w:cs="方正仿宋_GBK"/>
          <w:sz w:val="32"/>
          <w:szCs w:val="32"/>
        </w:rPr>
        <w:t>项目类别后的数字为《国民经济行业分类》（GB/T 4754</w:t>
      </w:r>
      <w:r>
        <w:rPr>
          <w:rStyle w:val="13"/>
          <w:rFonts w:hint="eastAsia" w:ascii="方正仿宋_GBK" w:hAnsi="方正仿宋_GBK" w:eastAsia="方正仿宋_GBK" w:cs="方正仿宋_GBK"/>
          <w:sz w:val="32"/>
          <w:szCs w:val="32"/>
          <w:lang w:eastAsia="zh-CN"/>
        </w:rPr>
        <w:t>—</w:t>
      </w:r>
      <w:r>
        <w:rPr>
          <w:rStyle w:val="13"/>
          <w:rFonts w:hint="eastAsia" w:ascii="方正仿宋_GBK" w:hAnsi="方正仿宋_GBK" w:eastAsia="方正仿宋_GBK" w:cs="方正仿宋_GBK"/>
          <w:sz w:val="32"/>
          <w:szCs w:val="32"/>
        </w:rPr>
        <w:t>2017）及第1号修改单</w:t>
      </w:r>
      <w:r>
        <w:rPr>
          <w:rStyle w:val="13"/>
          <w:rFonts w:hint="eastAsia" w:ascii="方正仿宋_GBK" w:hAnsi="方正仿宋_GBK" w:eastAsia="方正仿宋_GBK" w:cs="方正仿宋_GBK"/>
          <w:sz w:val="32"/>
          <w:szCs w:val="32"/>
          <w:lang w:eastAsia="zh-CN"/>
        </w:rPr>
        <w:t>确定的</w:t>
      </w:r>
      <w:r>
        <w:rPr>
          <w:rStyle w:val="13"/>
          <w:rFonts w:hint="eastAsia" w:ascii="方正仿宋_GBK" w:hAnsi="方正仿宋_GBK" w:eastAsia="方正仿宋_GBK" w:cs="方正仿宋_GBK"/>
          <w:sz w:val="32"/>
          <w:szCs w:val="32"/>
        </w:rPr>
        <w:t>行业代码。</w:t>
      </w:r>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jc w:val="left"/>
        <w:textAlignment w:val="auto"/>
        <w:outlineLvl w:val="9"/>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color w:val="000000"/>
          <w:sz w:val="32"/>
          <w:szCs w:val="32"/>
          <w:lang w:eastAsia="zh-CN"/>
        </w:rPr>
        <w:t>二、</w:t>
      </w:r>
      <w:r>
        <w:rPr>
          <w:rFonts w:hint="eastAsia" w:ascii="方正仿宋_GBK" w:hAnsi="方正仿宋_GBK" w:eastAsia="方正仿宋_GBK" w:cs="方正仿宋_GBK"/>
          <w:color w:val="000000"/>
          <w:sz w:val="32"/>
          <w:szCs w:val="32"/>
        </w:rPr>
        <w:t>鄂尔多斯市、乌海市、阿拉善盟生态环境主管部门开展环评审批应符合</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内蒙古自治区人民政府办公厅关于转发自治区环境保护厅〈环境影响评价文件（非辐射类）分级审批及验收意见〉的通知》</w:t>
      </w:r>
      <w:r>
        <w:rPr>
          <w:rFonts w:hint="eastAsia" w:ascii="方正仿宋_GBK" w:hAnsi="方正仿宋_GBK" w:eastAsia="方正仿宋_GBK" w:cs="方正仿宋_GBK"/>
          <w:color w:val="000000"/>
          <w:spacing w:val="7"/>
          <w:sz w:val="32"/>
          <w:szCs w:val="32"/>
        </w:rPr>
        <w:t>（内政办字〔2015〕61号）</w:t>
      </w:r>
      <w:r>
        <w:rPr>
          <w:rFonts w:hint="eastAsia" w:ascii="方正仿宋_GBK" w:hAnsi="方正仿宋_GBK" w:eastAsia="方正仿宋_GBK" w:cs="方正仿宋_GBK"/>
          <w:color w:val="000000"/>
          <w:sz w:val="32"/>
          <w:szCs w:val="32"/>
        </w:rPr>
        <w:t>及本</w:t>
      </w:r>
      <w:r>
        <w:rPr>
          <w:rFonts w:hint="eastAsia" w:ascii="方正仿宋_GBK" w:hAnsi="方正仿宋_GBK" w:eastAsia="方正仿宋_GBK" w:cs="方正仿宋_GBK"/>
          <w:color w:val="000000"/>
          <w:sz w:val="32"/>
          <w:szCs w:val="32"/>
          <w:lang w:eastAsia="zh-CN"/>
        </w:rPr>
        <w:t>通知</w:t>
      </w:r>
      <w:r>
        <w:rPr>
          <w:rFonts w:hint="eastAsia" w:ascii="方正仿宋_GBK" w:hAnsi="方正仿宋_GBK" w:eastAsia="方正仿宋_GBK" w:cs="方正仿宋_GBK"/>
          <w:color w:val="000000"/>
          <w:sz w:val="32"/>
          <w:szCs w:val="32"/>
        </w:rPr>
        <w:t>分级审批</w:t>
      </w:r>
      <w:r>
        <w:rPr>
          <w:rFonts w:hint="eastAsia" w:ascii="方正仿宋_GBK" w:hAnsi="方正仿宋_GBK" w:eastAsia="方正仿宋_GBK" w:cs="方正仿宋_GBK"/>
          <w:color w:val="000000"/>
          <w:sz w:val="32"/>
          <w:szCs w:val="32"/>
          <w:lang w:eastAsia="zh-CN"/>
        </w:rPr>
        <w:t>的</w:t>
      </w:r>
      <w:r>
        <w:rPr>
          <w:rFonts w:hint="eastAsia" w:ascii="方正仿宋_GBK" w:hAnsi="方正仿宋_GBK" w:eastAsia="方正仿宋_GBK" w:cs="方正仿宋_GBK"/>
          <w:color w:val="000000"/>
          <w:sz w:val="32"/>
          <w:szCs w:val="32"/>
        </w:rPr>
        <w:t>规定，严禁越权审批、拆分审批、变相审批等违规审批行为。</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00" w:lineRule="exact"/>
        <w:ind w:left="0" w:leftChars="0" w:right="0" w:rightChars="0" w:firstLine="675"/>
        <w:jc w:val="both"/>
        <w:textAlignment w:val="auto"/>
        <w:outlineLvl w:val="9"/>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eastAsia="zh-CN"/>
        </w:rPr>
        <w:t>三、</w:t>
      </w:r>
      <w:r>
        <w:rPr>
          <w:rFonts w:hint="eastAsia" w:ascii="方正仿宋_GBK" w:hAnsi="方正仿宋_GBK" w:eastAsia="方正仿宋_GBK" w:cs="方正仿宋_GBK"/>
          <w:color w:val="000000"/>
          <w:sz w:val="32"/>
          <w:szCs w:val="32"/>
        </w:rPr>
        <w:t>本</w:t>
      </w:r>
      <w:r>
        <w:rPr>
          <w:rFonts w:hint="eastAsia" w:ascii="方正仿宋_GBK" w:hAnsi="方正仿宋_GBK" w:eastAsia="方正仿宋_GBK" w:cs="方正仿宋_GBK"/>
          <w:color w:val="000000"/>
          <w:sz w:val="32"/>
          <w:szCs w:val="32"/>
          <w:lang w:eastAsia="zh-CN"/>
        </w:rPr>
        <w:t>通知</w:t>
      </w:r>
      <w:r>
        <w:rPr>
          <w:rFonts w:hint="eastAsia" w:ascii="方正仿宋_GBK" w:hAnsi="方正仿宋_GBK" w:eastAsia="方正仿宋_GBK" w:cs="方正仿宋_GBK"/>
          <w:color w:val="000000"/>
          <w:sz w:val="32"/>
          <w:szCs w:val="32"/>
        </w:rPr>
        <w:t>自发</w:t>
      </w:r>
      <w:r>
        <w:rPr>
          <w:rFonts w:hint="eastAsia" w:ascii="方正仿宋_GBK" w:hAnsi="方正仿宋_GBK" w:eastAsia="方正仿宋_GBK" w:cs="方正仿宋_GBK"/>
          <w:color w:val="000000"/>
          <w:sz w:val="32"/>
          <w:szCs w:val="32"/>
          <w:lang w:eastAsia="zh-CN"/>
        </w:rPr>
        <w:t>布</w:t>
      </w:r>
      <w:r>
        <w:rPr>
          <w:rFonts w:hint="eastAsia" w:ascii="方正仿宋_GBK" w:hAnsi="方正仿宋_GBK" w:eastAsia="方正仿宋_GBK" w:cs="方正仿宋_GBK"/>
          <w:color w:val="000000"/>
          <w:sz w:val="32"/>
          <w:szCs w:val="32"/>
        </w:rPr>
        <w:t>之日起施</w:t>
      </w:r>
      <w:r>
        <w:rPr>
          <w:rFonts w:hint="eastAsia" w:ascii="方正仿宋_GBK" w:hAnsi="方正仿宋_GBK" w:eastAsia="方正仿宋_GBK" w:cs="方正仿宋_GBK"/>
          <w:color w:val="000000"/>
          <w:sz w:val="32"/>
          <w:szCs w:val="32"/>
          <w:lang w:eastAsia="zh-CN"/>
        </w:rPr>
        <w:t>行。此前</w:t>
      </w:r>
      <w:r>
        <w:rPr>
          <w:rFonts w:hint="eastAsia" w:ascii="方正仿宋_GBK" w:hAnsi="方正仿宋_GBK" w:eastAsia="方正仿宋_GBK" w:cs="方正仿宋_GBK"/>
          <w:color w:val="000000"/>
          <w:sz w:val="32"/>
          <w:szCs w:val="32"/>
        </w:rPr>
        <w:t>乌海及周边地区</w:t>
      </w:r>
      <w:r>
        <w:rPr>
          <w:rFonts w:hint="eastAsia" w:ascii="方正仿宋_GBK" w:hAnsi="方正仿宋_GBK" w:eastAsia="方正仿宋_GBK" w:cs="方正仿宋_GBK"/>
          <w:color w:val="000000"/>
          <w:sz w:val="32"/>
          <w:szCs w:val="32"/>
          <w:lang w:eastAsia="zh-CN"/>
        </w:rPr>
        <w:t>相关</w:t>
      </w:r>
      <w:r>
        <w:rPr>
          <w:rFonts w:hint="eastAsia" w:ascii="方正仿宋_GBK" w:hAnsi="方正仿宋_GBK" w:eastAsia="方正仿宋_GBK" w:cs="方正仿宋_GBK"/>
          <w:color w:val="000000"/>
          <w:sz w:val="32"/>
          <w:szCs w:val="32"/>
        </w:rPr>
        <w:t>建设项目环评管理</w:t>
      </w:r>
      <w:r>
        <w:rPr>
          <w:rFonts w:hint="eastAsia" w:ascii="方正仿宋_GBK" w:hAnsi="方正仿宋_GBK" w:eastAsia="方正仿宋_GBK" w:cs="方正仿宋_GBK"/>
          <w:color w:val="000000"/>
          <w:sz w:val="32"/>
          <w:szCs w:val="32"/>
          <w:lang w:eastAsia="zh-CN"/>
        </w:rPr>
        <w:t>有关</w:t>
      </w:r>
      <w:r>
        <w:rPr>
          <w:rStyle w:val="13"/>
          <w:rFonts w:hint="eastAsia" w:ascii="方正仿宋_GBK" w:hAnsi="方正仿宋_GBK" w:eastAsia="方正仿宋_GBK" w:cs="方正仿宋_GBK"/>
          <w:sz w:val="32"/>
          <w:szCs w:val="32"/>
          <w:lang w:eastAsia="zh-CN"/>
        </w:rPr>
        <w:t>规定</w:t>
      </w:r>
      <w:r>
        <w:rPr>
          <w:rFonts w:hint="eastAsia" w:ascii="方正仿宋_GBK" w:hAnsi="方正仿宋_GBK" w:eastAsia="方正仿宋_GBK" w:cs="方正仿宋_GBK"/>
          <w:color w:val="000000"/>
          <w:sz w:val="32"/>
          <w:szCs w:val="32"/>
          <w:lang w:eastAsia="zh-CN"/>
        </w:rPr>
        <w:t>与本通知不一致的，以本通知为准。</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right="0" w:rightChars="0"/>
        <w:jc w:val="left"/>
        <w:textAlignment w:val="auto"/>
        <w:outlineLvl w:val="1"/>
        <w:rPr>
          <w:rFonts w:hint="eastAsia" w:ascii="方正仿宋_GBK" w:hAnsi="方正仿宋_GBK" w:eastAsia="方正仿宋_GBK" w:cs="方正仿宋_GBK"/>
          <w:spacing w:val="7"/>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right="0" w:rightChars="0"/>
        <w:jc w:val="left"/>
        <w:textAlignment w:val="auto"/>
        <w:outlineLvl w:val="1"/>
        <w:rPr>
          <w:rFonts w:hint="eastAsia" w:ascii="方正仿宋_GBK" w:hAnsi="方正仿宋_GBK" w:eastAsia="方正仿宋_GBK" w:cs="方正仿宋_GBK"/>
          <w:spacing w:val="7"/>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right="0" w:rightChars="0"/>
        <w:jc w:val="left"/>
        <w:textAlignment w:val="auto"/>
        <w:outlineLvl w:val="1"/>
        <w:rPr>
          <w:rFonts w:hint="eastAsia" w:ascii="方正仿宋_GBK" w:hAnsi="方正仿宋_GBK" w:eastAsia="方正仿宋_GBK" w:cs="方正仿宋_GBK"/>
          <w:spacing w:val="7"/>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right="0" w:rightChars="0"/>
        <w:jc w:val="left"/>
        <w:textAlignment w:val="auto"/>
        <w:outlineLvl w:val="1"/>
        <w:rPr>
          <w:rFonts w:hint="eastAsia" w:ascii="方正仿宋_GBK" w:hAnsi="方正仿宋_GBK" w:eastAsia="方正仿宋_GBK" w:cs="方正仿宋_GBK"/>
          <w:spacing w:val="7"/>
          <w:sz w:val="32"/>
          <w:szCs w:val="32"/>
        </w:rPr>
      </w:pPr>
      <w:bookmarkStart w:id="3" w:name="_GoBack"/>
      <w:bookmarkEnd w:id="3"/>
    </w:p>
    <w:p>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right="0" w:rightChars="0"/>
        <w:jc w:val="left"/>
        <w:textAlignment w:val="auto"/>
        <w:outlineLvl w:val="1"/>
        <w:rPr>
          <w:rFonts w:hint="eastAsia" w:ascii="方正仿宋_GBK" w:hAnsi="方正仿宋_GBK" w:eastAsia="方正仿宋_GBK" w:cs="方正仿宋_GBK"/>
          <w:spacing w:val="7"/>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right="0" w:rightChars="0"/>
        <w:jc w:val="left"/>
        <w:textAlignment w:val="auto"/>
        <w:outlineLvl w:val="1"/>
        <w:rPr>
          <w:rFonts w:hint="eastAsia" w:ascii="方正仿宋_GBK" w:hAnsi="方正仿宋_GBK" w:eastAsia="方正仿宋_GBK" w:cs="方正仿宋_GBK"/>
          <w:spacing w:val="7"/>
          <w:sz w:val="32"/>
          <w:szCs w:val="32"/>
          <w:lang w:val="en-US" w:eastAsia="zh-CN"/>
        </w:rPr>
      </w:pPr>
      <w:r>
        <w:rPr>
          <w:rFonts w:hint="eastAsia" w:ascii="方正仿宋_GBK" w:hAnsi="方正仿宋_GBK" w:eastAsia="方正仿宋_GBK" w:cs="方正仿宋_GBK"/>
          <w:spacing w:val="7"/>
          <w:sz w:val="32"/>
          <w:szCs w:val="32"/>
          <w:lang w:val="en-US" w:eastAsia="zh-CN"/>
        </w:rPr>
        <w:t xml:space="preserve">                             2021年4月25日</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left="0" w:leftChars="0" w:right="0" w:rightChars="0" w:firstLine="668" w:firstLineChars="200"/>
        <w:jc w:val="left"/>
        <w:textAlignment w:val="auto"/>
        <w:outlineLvl w:val="1"/>
        <w:rPr>
          <w:rFonts w:hint="eastAsia" w:ascii="方正仿宋_GBK" w:hAnsi="方正仿宋_GBK" w:eastAsia="方正仿宋_GBK" w:cs="方正仿宋_GBK"/>
          <w:spacing w:val="7"/>
          <w:sz w:val="32"/>
          <w:szCs w:val="32"/>
          <w:lang w:val="en-US" w:eastAsia="zh-CN"/>
        </w:rPr>
      </w:pPr>
      <w:r>
        <w:rPr>
          <w:rFonts w:hint="eastAsia" w:ascii="方正仿宋_GBK" w:hAnsi="方正仿宋_GBK" w:eastAsia="方正仿宋_GBK" w:cs="方正仿宋_GBK"/>
          <w:spacing w:val="7"/>
          <w:sz w:val="32"/>
          <w:szCs w:val="32"/>
          <w:lang w:val="en-US" w:eastAsia="zh-CN"/>
        </w:rPr>
        <w:t>（此件公开发布）</w:t>
      </w:r>
    </w:p>
    <w:p>
      <w:pPr>
        <w:wordWrap w:val="0"/>
        <w:spacing w:line="560" w:lineRule="exact"/>
        <w:ind w:right="55" w:rightChars="26"/>
        <w:jc w:val="left"/>
        <w:rPr>
          <w:rFonts w:ascii="仿宋_GB2312" w:hAnsi="仿宋" w:eastAsia="仿宋_GB2312"/>
          <w:spacing w:val="-4"/>
          <w:sz w:val="32"/>
          <w:szCs w:val="32"/>
        </w:rPr>
      </w:pPr>
    </w:p>
    <w:p/>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280" w:firstLineChars="100"/>
        <w:jc w:val="both"/>
        <w:textAlignment w:val="auto"/>
        <w:outlineLvl w:val="9"/>
        <w:rPr>
          <w:rFonts w:ascii="仿宋_GB2312" w:eastAsia="仿宋_GB2312"/>
          <w:sz w:val="28"/>
          <w:szCs w:val="28"/>
        </w:rPr>
      </w:pPr>
      <w:r>
        <w:rPr>
          <w:rFonts w:hint="eastAsia" w:ascii="仿宋_GB2312" w:eastAsia="仿宋_GB2312"/>
          <w:sz w:val="28"/>
          <w:szCs w:val="28"/>
        </w:rPr>
        <w:t>抄送：自治区党委各部门。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1134" w:firstLineChars="405"/>
        <w:jc w:val="both"/>
        <w:textAlignment w:val="auto"/>
        <w:outlineLvl w:val="9"/>
        <w:rPr>
          <w:rFonts w:hint="eastAsia" w:ascii="仿宋_GB2312" w:eastAsia="仿宋_GB2312"/>
          <w:sz w:val="28"/>
          <w:szCs w:val="28"/>
          <w:lang w:eastAsia="zh-CN"/>
        </w:rPr>
      </w:pPr>
      <w:r>
        <w:rPr>
          <w:rFonts w:hint="eastAsia" w:ascii="仿宋_GB2312" w:eastAsia="仿宋_GB2312"/>
          <w:sz w:val="28"/>
          <w:szCs w:val="28"/>
        </w:rPr>
        <w:t>自治区人大常委会办公厅、政协办公厅，</w:t>
      </w:r>
      <w:r>
        <w:rPr>
          <w:rFonts w:hint="eastAsia" w:ascii="仿宋_GB2312" w:eastAsia="仿宋_GB2312"/>
          <w:sz w:val="28"/>
          <w:szCs w:val="28"/>
          <w:lang w:eastAsia="zh-CN"/>
        </w:rPr>
        <w:t>自治区监委，自治区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1134" w:firstLineChars="405"/>
        <w:jc w:val="both"/>
        <w:textAlignment w:val="auto"/>
        <w:outlineLvl w:val="9"/>
        <w:rPr>
          <w:rFonts w:ascii="仿宋_GB2312" w:eastAsia="仿宋_GB2312"/>
          <w:sz w:val="28"/>
          <w:szCs w:val="28"/>
        </w:rPr>
      </w:pPr>
      <w:r>
        <w:rPr>
          <w:rFonts w:hint="eastAsia" w:ascii="仿宋_GB2312" w:eastAsia="仿宋_GB2312"/>
          <w:sz w:val="28"/>
          <w:szCs w:val="28"/>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1148" w:firstLineChars="410"/>
        <w:jc w:val="both"/>
        <w:textAlignment w:val="auto"/>
        <w:outlineLvl w:val="9"/>
        <w:rPr>
          <w:rFonts w:hint="eastAsia"/>
        </w:rPr>
      </w:pPr>
      <w:r>
        <w:rPr>
          <w:rFonts w:hint="eastAsia" w:ascii="仿宋_GB2312" w:eastAsia="仿宋_GB2312"/>
          <w:sz w:val="28"/>
          <w:szCs w:val="28"/>
        </w:rPr>
        <w:t>各人民团体，新闻单位。</w:t>
      </w:r>
      <w:bookmarkStart w:id="2" w:name="印章"/>
      <w:bookmarkEnd w:id="2"/>
    </w:p>
    <w:sectPr>
      <w:footerReference r:id="rId3" w:type="default"/>
      <w:footerReference r:id="rId4" w:type="even"/>
      <w:pgSz w:w="11906" w:h="16838"/>
      <w:pgMar w:top="2098" w:right="1474" w:bottom="1701" w:left="1474" w:header="851" w:footer="1417" w:gutter="0"/>
      <w:paperSrc/>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9"/>
        <w:rFonts w:hint="eastAsia" w:ascii="宋体" w:hAnsi="宋体"/>
        <w:sz w:val="28"/>
        <w:szCs w:val="28"/>
      </w:rPr>
    </w:pPr>
    <w:r>
      <w:rPr>
        <w:rFonts w:hint="eastAsia" w:ascii="宋体" w:hAnsi="宋体"/>
        <w:sz w:val="28"/>
        <w:szCs w:val="28"/>
      </w:rPr>
      <w:fldChar w:fldCharType="begin"/>
    </w:r>
    <w:r>
      <w:rPr>
        <w:rStyle w:val="9"/>
        <w:rFonts w:hint="eastAsia" w:ascii="宋体" w:hAnsi="宋体"/>
        <w:sz w:val="28"/>
        <w:szCs w:val="28"/>
      </w:rPr>
      <w:instrText xml:space="preserve">PAGE  </w:instrText>
    </w:r>
    <w:r>
      <w:rPr>
        <w:rFonts w:hint="eastAsia" w:ascii="宋体" w:hAnsi="宋体"/>
        <w:sz w:val="28"/>
        <w:szCs w:val="28"/>
      </w:rPr>
      <w:fldChar w:fldCharType="separate"/>
    </w:r>
    <w:r>
      <w:rPr>
        <w:rStyle w:val="9"/>
        <w:rFonts w:ascii="宋体" w:hAnsi="宋体"/>
        <w:sz w:val="28"/>
        <w:szCs w:val="28"/>
        <w:lang/>
      </w:rPr>
      <w:t>- 3 -</w:t>
    </w:r>
    <w:r>
      <w:rPr>
        <w:rFonts w:hint="eastAsia" w:ascii="宋体" w:hAnsi="宋体"/>
        <w:sz w:val="28"/>
        <w:szCs w:val="28"/>
      </w:rP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y="1"/>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lang/>
      </w:rPr>
      <w:t>- 2 -</w:t>
    </w:r>
    <w:r>
      <w:rPr>
        <w:rFonts w:ascii="宋体" w:hAnsi="宋体"/>
        <w:sz w:val="28"/>
        <w:szCs w:val="28"/>
      </w:rPr>
      <w:fldChar w:fldCharType="end"/>
    </w:r>
  </w:p>
  <w:p>
    <w:pPr>
      <w:pStyle w:val="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8BE4BC"/>
    <w:multiLevelType w:val="singleLevel"/>
    <w:tmpl w:val="FF8BE4B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6B5"/>
    <w:rsid w:val="00007D4A"/>
    <w:rsid w:val="0004114A"/>
    <w:rsid w:val="00062727"/>
    <w:rsid w:val="00074695"/>
    <w:rsid w:val="00085F06"/>
    <w:rsid w:val="00086644"/>
    <w:rsid w:val="00090C56"/>
    <w:rsid w:val="000B3848"/>
    <w:rsid w:val="000B7F4F"/>
    <w:rsid w:val="000C19E6"/>
    <w:rsid w:val="00104FD5"/>
    <w:rsid w:val="00105B76"/>
    <w:rsid w:val="0011471C"/>
    <w:rsid w:val="00124049"/>
    <w:rsid w:val="00143AE0"/>
    <w:rsid w:val="00146EE3"/>
    <w:rsid w:val="001727E2"/>
    <w:rsid w:val="0017443C"/>
    <w:rsid w:val="00176277"/>
    <w:rsid w:val="001774E2"/>
    <w:rsid w:val="001863EE"/>
    <w:rsid w:val="001B074F"/>
    <w:rsid w:val="001B7709"/>
    <w:rsid w:val="001F5FEE"/>
    <w:rsid w:val="00203445"/>
    <w:rsid w:val="002134C2"/>
    <w:rsid w:val="00220CB1"/>
    <w:rsid w:val="002347A2"/>
    <w:rsid w:val="00246C99"/>
    <w:rsid w:val="00247D67"/>
    <w:rsid w:val="002725EA"/>
    <w:rsid w:val="00275388"/>
    <w:rsid w:val="00277BD5"/>
    <w:rsid w:val="002856B5"/>
    <w:rsid w:val="002C5ABA"/>
    <w:rsid w:val="002D4B7D"/>
    <w:rsid w:val="002D79E5"/>
    <w:rsid w:val="00302982"/>
    <w:rsid w:val="00305DF9"/>
    <w:rsid w:val="00307989"/>
    <w:rsid w:val="00311ECF"/>
    <w:rsid w:val="00321F00"/>
    <w:rsid w:val="00322404"/>
    <w:rsid w:val="00323128"/>
    <w:rsid w:val="003238DF"/>
    <w:rsid w:val="00330F66"/>
    <w:rsid w:val="003404B0"/>
    <w:rsid w:val="003410AF"/>
    <w:rsid w:val="00341F6C"/>
    <w:rsid w:val="00351C78"/>
    <w:rsid w:val="003549D0"/>
    <w:rsid w:val="0035706E"/>
    <w:rsid w:val="00365B2B"/>
    <w:rsid w:val="003725D7"/>
    <w:rsid w:val="00376B4C"/>
    <w:rsid w:val="00381DD7"/>
    <w:rsid w:val="00385B36"/>
    <w:rsid w:val="003A34B5"/>
    <w:rsid w:val="003B35B7"/>
    <w:rsid w:val="003B7E04"/>
    <w:rsid w:val="00401A07"/>
    <w:rsid w:val="00414203"/>
    <w:rsid w:val="00415546"/>
    <w:rsid w:val="00425576"/>
    <w:rsid w:val="004272C2"/>
    <w:rsid w:val="00434CD2"/>
    <w:rsid w:val="00445B49"/>
    <w:rsid w:val="004500BF"/>
    <w:rsid w:val="00463DDD"/>
    <w:rsid w:val="00483E09"/>
    <w:rsid w:val="00492129"/>
    <w:rsid w:val="004932B4"/>
    <w:rsid w:val="004B1A44"/>
    <w:rsid w:val="004C119D"/>
    <w:rsid w:val="004E1CA8"/>
    <w:rsid w:val="004E201A"/>
    <w:rsid w:val="004F5932"/>
    <w:rsid w:val="00504176"/>
    <w:rsid w:val="005163A1"/>
    <w:rsid w:val="00541514"/>
    <w:rsid w:val="00553A08"/>
    <w:rsid w:val="00554135"/>
    <w:rsid w:val="00561030"/>
    <w:rsid w:val="0056162A"/>
    <w:rsid w:val="005815D3"/>
    <w:rsid w:val="005A2951"/>
    <w:rsid w:val="005B2184"/>
    <w:rsid w:val="005B5732"/>
    <w:rsid w:val="005D2741"/>
    <w:rsid w:val="005D2D65"/>
    <w:rsid w:val="005D457C"/>
    <w:rsid w:val="005D6DD1"/>
    <w:rsid w:val="005E0597"/>
    <w:rsid w:val="006000F7"/>
    <w:rsid w:val="00615AB4"/>
    <w:rsid w:val="00623AAB"/>
    <w:rsid w:val="00644794"/>
    <w:rsid w:val="00652FDA"/>
    <w:rsid w:val="006532FE"/>
    <w:rsid w:val="00657861"/>
    <w:rsid w:val="006634B2"/>
    <w:rsid w:val="006817FD"/>
    <w:rsid w:val="006A6EAF"/>
    <w:rsid w:val="006B7C15"/>
    <w:rsid w:val="006C6EF2"/>
    <w:rsid w:val="006C787C"/>
    <w:rsid w:val="006D547B"/>
    <w:rsid w:val="007069D0"/>
    <w:rsid w:val="00722390"/>
    <w:rsid w:val="0073079B"/>
    <w:rsid w:val="00732340"/>
    <w:rsid w:val="00755D27"/>
    <w:rsid w:val="00784776"/>
    <w:rsid w:val="00794744"/>
    <w:rsid w:val="007A24EA"/>
    <w:rsid w:val="007D3596"/>
    <w:rsid w:val="007E2AC1"/>
    <w:rsid w:val="007F516F"/>
    <w:rsid w:val="0080603E"/>
    <w:rsid w:val="00824892"/>
    <w:rsid w:val="00826448"/>
    <w:rsid w:val="00826F14"/>
    <w:rsid w:val="00837E9D"/>
    <w:rsid w:val="008408A0"/>
    <w:rsid w:val="00841E07"/>
    <w:rsid w:val="00855F79"/>
    <w:rsid w:val="00895CD0"/>
    <w:rsid w:val="008A02A1"/>
    <w:rsid w:val="008B7BB4"/>
    <w:rsid w:val="008D1DD0"/>
    <w:rsid w:val="008E482C"/>
    <w:rsid w:val="008E4FB0"/>
    <w:rsid w:val="00914A6B"/>
    <w:rsid w:val="0091691F"/>
    <w:rsid w:val="00935914"/>
    <w:rsid w:val="00943325"/>
    <w:rsid w:val="00946637"/>
    <w:rsid w:val="0097243D"/>
    <w:rsid w:val="00981219"/>
    <w:rsid w:val="00983324"/>
    <w:rsid w:val="009958DA"/>
    <w:rsid w:val="00995BF2"/>
    <w:rsid w:val="009966F3"/>
    <w:rsid w:val="009B551A"/>
    <w:rsid w:val="009C253A"/>
    <w:rsid w:val="009C7DC5"/>
    <w:rsid w:val="009D26AC"/>
    <w:rsid w:val="009D5E5D"/>
    <w:rsid w:val="009E408C"/>
    <w:rsid w:val="009F4D6D"/>
    <w:rsid w:val="00A03890"/>
    <w:rsid w:val="00A15138"/>
    <w:rsid w:val="00A37C72"/>
    <w:rsid w:val="00A4158C"/>
    <w:rsid w:val="00A565C3"/>
    <w:rsid w:val="00A626B3"/>
    <w:rsid w:val="00A82698"/>
    <w:rsid w:val="00AB4480"/>
    <w:rsid w:val="00AD5330"/>
    <w:rsid w:val="00AE3288"/>
    <w:rsid w:val="00AF4A06"/>
    <w:rsid w:val="00B32830"/>
    <w:rsid w:val="00B33ED2"/>
    <w:rsid w:val="00B52F22"/>
    <w:rsid w:val="00B558E6"/>
    <w:rsid w:val="00B60C52"/>
    <w:rsid w:val="00B703B5"/>
    <w:rsid w:val="00B8542C"/>
    <w:rsid w:val="00B90258"/>
    <w:rsid w:val="00BA688B"/>
    <w:rsid w:val="00BA7D46"/>
    <w:rsid w:val="00BC09C5"/>
    <w:rsid w:val="00BC2012"/>
    <w:rsid w:val="00BC5D13"/>
    <w:rsid w:val="00BD4B1D"/>
    <w:rsid w:val="00BE1E84"/>
    <w:rsid w:val="00BE41F1"/>
    <w:rsid w:val="00BF11AA"/>
    <w:rsid w:val="00C113E5"/>
    <w:rsid w:val="00C17D51"/>
    <w:rsid w:val="00C20E96"/>
    <w:rsid w:val="00C2394D"/>
    <w:rsid w:val="00C27E82"/>
    <w:rsid w:val="00C3225F"/>
    <w:rsid w:val="00C45BDE"/>
    <w:rsid w:val="00C4759B"/>
    <w:rsid w:val="00C61F9D"/>
    <w:rsid w:val="00C675E6"/>
    <w:rsid w:val="00CB4FFE"/>
    <w:rsid w:val="00CB6919"/>
    <w:rsid w:val="00CB780D"/>
    <w:rsid w:val="00CC3DEF"/>
    <w:rsid w:val="00CC7BEA"/>
    <w:rsid w:val="00CD2899"/>
    <w:rsid w:val="00CD5F4C"/>
    <w:rsid w:val="00CE3E35"/>
    <w:rsid w:val="00D02728"/>
    <w:rsid w:val="00D15A21"/>
    <w:rsid w:val="00D20B6D"/>
    <w:rsid w:val="00D24FF7"/>
    <w:rsid w:val="00D33CB3"/>
    <w:rsid w:val="00D3538A"/>
    <w:rsid w:val="00D3579F"/>
    <w:rsid w:val="00D4467C"/>
    <w:rsid w:val="00D4629F"/>
    <w:rsid w:val="00D47771"/>
    <w:rsid w:val="00D65E6E"/>
    <w:rsid w:val="00D661F4"/>
    <w:rsid w:val="00D8726D"/>
    <w:rsid w:val="00D95FE5"/>
    <w:rsid w:val="00DA31E0"/>
    <w:rsid w:val="00DB33AC"/>
    <w:rsid w:val="00DC2EBB"/>
    <w:rsid w:val="00DD4FCD"/>
    <w:rsid w:val="00E10413"/>
    <w:rsid w:val="00E2150F"/>
    <w:rsid w:val="00E257B7"/>
    <w:rsid w:val="00E32829"/>
    <w:rsid w:val="00E34F10"/>
    <w:rsid w:val="00E42E6B"/>
    <w:rsid w:val="00E4444A"/>
    <w:rsid w:val="00E479D1"/>
    <w:rsid w:val="00E8606B"/>
    <w:rsid w:val="00EC2E25"/>
    <w:rsid w:val="00EC7062"/>
    <w:rsid w:val="00ED1E83"/>
    <w:rsid w:val="00ED450A"/>
    <w:rsid w:val="00EE261F"/>
    <w:rsid w:val="00EF2903"/>
    <w:rsid w:val="00EF58E6"/>
    <w:rsid w:val="00EF62B6"/>
    <w:rsid w:val="00F02695"/>
    <w:rsid w:val="00F029CB"/>
    <w:rsid w:val="00F13DA5"/>
    <w:rsid w:val="00F148B7"/>
    <w:rsid w:val="00F24422"/>
    <w:rsid w:val="00F261C0"/>
    <w:rsid w:val="00F27145"/>
    <w:rsid w:val="00F332D4"/>
    <w:rsid w:val="00F543CE"/>
    <w:rsid w:val="00F66780"/>
    <w:rsid w:val="00F71128"/>
    <w:rsid w:val="00F73BD5"/>
    <w:rsid w:val="00F92861"/>
    <w:rsid w:val="00F95A50"/>
    <w:rsid w:val="00FA185B"/>
    <w:rsid w:val="00FC3CB4"/>
    <w:rsid w:val="00FD29FB"/>
    <w:rsid w:val="00FD74CD"/>
    <w:rsid w:val="00FF7C87"/>
    <w:rsid w:val="082E6590"/>
    <w:rsid w:val="0839301D"/>
    <w:rsid w:val="08B90D15"/>
    <w:rsid w:val="08E635FF"/>
    <w:rsid w:val="096B5EE5"/>
    <w:rsid w:val="09B44ACE"/>
    <w:rsid w:val="0B0D2D51"/>
    <w:rsid w:val="0B882F93"/>
    <w:rsid w:val="0C1F674A"/>
    <w:rsid w:val="101D4F46"/>
    <w:rsid w:val="10AD75F5"/>
    <w:rsid w:val="13021A3C"/>
    <w:rsid w:val="18FC4FCB"/>
    <w:rsid w:val="193A15E5"/>
    <w:rsid w:val="19B05857"/>
    <w:rsid w:val="1B0A0FAB"/>
    <w:rsid w:val="200F4EAF"/>
    <w:rsid w:val="20455AAF"/>
    <w:rsid w:val="20C22A3D"/>
    <w:rsid w:val="212F5750"/>
    <w:rsid w:val="247E2191"/>
    <w:rsid w:val="25F53D01"/>
    <w:rsid w:val="29851E6F"/>
    <w:rsid w:val="298E7245"/>
    <w:rsid w:val="29F00CC2"/>
    <w:rsid w:val="29F79764"/>
    <w:rsid w:val="2A1E3217"/>
    <w:rsid w:val="2BB7150B"/>
    <w:rsid w:val="2C4E4819"/>
    <w:rsid w:val="30277111"/>
    <w:rsid w:val="34C81EFF"/>
    <w:rsid w:val="35775AFB"/>
    <w:rsid w:val="369026AE"/>
    <w:rsid w:val="36F51A1A"/>
    <w:rsid w:val="36FD4E3B"/>
    <w:rsid w:val="39AF4393"/>
    <w:rsid w:val="3AA062AB"/>
    <w:rsid w:val="3B661F59"/>
    <w:rsid w:val="3BBD1B4B"/>
    <w:rsid w:val="3CA50283"/>
    <w:rsid w:val="3E78309A"/>
    <w:rsid w:val="3E8003A9"/>
    <w:rsid w:val="3F2D363E"/>
    <w:rsid w:val="3FE0737E"/>
    <w:rsid w:val="402E399F"/>
    <w:rsid w:val="403F41DE"/>
    <w:rsid w:val="421552B7"/>
    <w:rsid w:val="42A33635"/>
    <w:rsid w:val="42DB7D5B"/>
    <w:rsid w:val="437F309C"/>
    <w:rsid w:val="46AB2884"/>
    <w:rsid w:val="4B1D4D3A"/>
    <w:rsid w:val="4D904494"/>
    <w:rsid w:val="4DBC12BA"/>
    <w:rsid w:val="4DE930A5"/>
    <w:rsid w:val="4FC3731F"/>
    <w:rsid w:val="51B3397E"/>
    <w:rsid w:val="527D5010"/>
    <w:rsid w:val="534C7A6D"/>
    <w:rsid w:val="538B13CD"/>
    <w:rsid w:val="55B6104E"/>
    <w:rsid w:val="5A7B0E1A"/>
    <w:rsid w:val="5D413BC7"/>
    <w:rsid w:val="618A65E0"/>
    <w:rsid w:val="6343530B"/>
    <w:rsid w:val="641225CF"/>
    <w:rsid w:val="641A6B0C"/>
    <w:rsid w:val="651824F2"/>
    <w:rsid w:val="65F76D94"/>
    <w:rsid w:val="66BE452C"/>
    <w:rsid w:val="67C742AE"/>
    <w:rsid w:val="67E6F942"/>
    <w:rsid w:val="692C3C2C"/>
    <w:rsid w:val="6D2B064A"/>
    <w:rsid w:val="6D9C62DE"/>
    <w:rsid w:val="6ECA521C"/>
    <w:rsid w:val="71212808"/>
    <w:rsid w:val="71865C4E"/>
    <w:rsid w:val="723A7396"/>
    <w:rsid w:val="730A77FA"/>
    <w:rsid w:val="74386812"/>
    <w:rsid w:val="753A46EC"/>
    <w:rsid w:val="76073D53"/>
    <w:rsid w:val="76240541"/>
    <w:rsid w:val="76EE3139"/>
    <w:rsid w:val="770A462A"/>
    <w:rsid w:val="787FC017"/>
    <w:rsid w:val="78807F9A"/>
    <w:rsid w:val="7A3D5649"/>
    <w:rsid w:val="7AFB466B"/>
    <w:rsid w:val="7B096285"/>
    <w:rsid w:val="7C445D56"/>
    <w:rsid w:val="7CE73F90"/>
    <w:rsid w:val="7CEF13AD"/>
    <w:rsid w:val="7DDA296D"/>
    <w:rsid w:val="7F2265C1"/>
    <w:rsid w:val="7F32A08E"/>
    <w:rsid w:val="BD7D5202"/>
    <w:rsid w:val="EFFDE5D9"/>
    <w:rsid w:val="FBDB8E84"/>
    <w:rsid w:val="FE6F0971"/>
    <w:rsid w:val="FFFDF9D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Balloon Text"/>
    <w:basedOn w:val="1"/>
    <w:link w:val="10"/>
    <w:uiPriority w:val="0"/>
    <w:rPr>
      <w:rFonts w:ascii="Calibri" w:hAnsi="Calibri" w:eastAsia="宋体" w:cs="Times New Roman"/>
      <w:sz w:val="18"/>
      <w:szCs w:val="18"/>
    </w:rPr>
  </w:style>
  <w:style w:type="paragraph" w:styleId="3">
    <w:name w:val="footer"/>
    <w:basedOn w:val="1"/>
    <w:link w:val="11"/>
    <w:uiPriority w:val="0"/>
    <w:pPr>
      <w:tabs>
        <w:tab w:val="center" w:pos="4153"/>
        <w:tab w:val="right" w:pos="8306"/>
      </w:tabs>
      <w:snapToGrid w:val="0"/>
      <w:jc w:val="left"/>
    </w:pPr>
    <w:rPr>
      <w:sz w:val="18"/>
      <w:szCs w:val="18"/>
    </w:rPr>
  </w:style>
  <w:style w:type="paragraph" w:styleId="4">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uiPriority w:val="0"/>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uiPriority w:val="0"/>
  </w:style>
  <w:style w:type="character" w:customStyle="1" w:styleId="10">
    <w:name w:val="批注框文本 Char"/>
    <w:link w:val="2"/>
    <w:semiHidden/>
    <w:uiPriority w:val="99"/>
    <w:rPr>
      <w:rFonts w:ascii="Calibri" w:hAnsi="Calibri" w:eastAsia="宋体" w:cs="Times New Roman"/>
      <w:sz w:val="18"/>
      <w:szCs w:val="18"/>
    </w:rPr>
  </w:style>
  <w:style w:type="character" w:customStyle="1" w:styleId="11">
    <w:name w:val="页脚 Char"/>
    <w:link w:val="3"/>
    <w:uiPriority w:val="99"/>
    <w:rPr>
      <w:rFonts w:ascii="Times New Roman" w:hAnsi="Times New Roman" w:eastAsia="宋体" w:cs="Times New Roman"/>
      <w:kern w:val="2"/>
      <w:sz w:val="18"/>
      <w:szCs w:val="18"/>
    </w:rPr>
  </w:style>
  <w:style w:type="character" w:customStyle="1" w:styleId="12">
    <w:name w:val="页眉 Char"/>
    <w:link w:val="4"/>
    <w:uiPriority w:val="99"/>
    <w:rPr>
      <w:rFonts w:ascii="Times New Roman" w:hAnsi="Times New Roman" w:eastAsia="宋体" w:cs="Times New Roman"/>
      <w:kern w:val="2"/>
      <w:sz w:val="18"/>
      <w:szCs w:val="18"/>
    </w:rPr>
  </w:style>
  <w:style w:type="character" w:customStyle="1" w:styleId="13">
    <w:name w:val="fontstyle31"/>
    <w:uiPriority w:val="0"/>
    <w:rPr>
      <w:rFonts w:hint="default" w:ascii="仿宋" w:hAnsi="仿宋" w:eastAsia="宋体" w:cs="Times New Roman"/>
      <w:color w:val="000000"/>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thtf/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771</Words>
  <Characters>823</Characters>
  <Lines>1</Lines>
  <Paragraphs>1</Paragraphs>
  <TotalTime>1</TotalTime>
  <ScaleCrop>false</ScaleCrop>
  <LinksUpToDate>false</LinksUpToDate>
  <CharactersWithSpaces>857</CharactersWithSpaces>
  <Application>WPS Office_11.8.2.9900_F1E327BC-269C-435d-A152-05C5408002CA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2020-09-13T02:30:00Z</dcterms:created>
  <dc:creator>王蕾:打印</dc:creator>
  <cp:lastModifiedBy>thtf</cp:lastModifiedBy>
  <dcterms:modified xsi:type="dcterms:W3CDTF">2021-04-28T10:00:14Z</dcterms:modified>
  <dc:title>_x0001_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2052-11.8.2.9900</vt:lpwstr>
  </property>
</Properties>
</file>