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autoSpaceDE/>
        <w:autoSpaceDN/>
        <w:bidi w:val="0"/>
        <w:adjustRightInd w:val="0"/>
        <w:snapToGrid w:val="0"/>
        <w:spacing w:line="580" w:lineRule="exact"/>
        <w:ind w:firstLine="160" w:firstLineChars="50"/>
        <w:textAlignment w:val="auto"/>
        <w:rPr>
          <w:rFonts w:hint="eastAsia"/>
        </w:rPr>
      </w:pPr>
      <w:r>
        <w:rPr>
          <w:rFonts w:hint="eastAsia" w:ascii="仿宋_GB2312" w:hAnsi="华文仿宋" w:eastAsia="仿宋_GB2312"/>
          <w:sz w:val="32"/>
        </w:rPr>
        <w:t xml:space="preserve">  </w:t>
      </w:r>
      <w:bookmarkStart w:id="1" w:name="_GoBack"/>
      <w:bookmarkEnd w:id="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pacing w:val="68"/>
          <w:sz w:val="44"/>
          <w:szCs w:val="44"/>
          <w:lang w:eastAsia="zh-CN"/>
        </w:rPr>
        <w:t>内蒙古自治区人民政府关</w:t>
      </w:r>
      <w:r>
        <w:rPr>
          <w:rFonts w:hint="eastAsia" w:ascii="方正小标宋简体" w:eastAsia="方正小标宋简体"/>
          <w:sz w:val="44"/>
          <w:szCs w:val="44"/>
          <w:lang w:eastAsia="zh-CN"/>
        </w:rPr>
        <w:t>于</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调整自治区本级54项行政权力事项的决定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内政发〔2021〕6号</w:t>
      </w:r>
    </w:p>
    <w:p>
      <w:pPr>
        <w:keepNext w:val="0"/>
        <w:keepLines w:val="0"/>
        <w:pageBreakBefore w:val="0"/>
        <w:widowControl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80" w:lineRule="exact"/>
        <w:ind w:left="0" w:leftChars="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80" w:lineRule="exact"/>
        <w:ind w:left="0" w:lef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为进一步健全完善权责清单制度，推动政府职能转变、深化“放管服”改革优化营商环境，按照新修订的有关法律法规规章和</w:t>
      </w:r>
      <w:r>
        <w:rPr>
          <w:rFonts w:hint="eastAsia" w:ascii="方正仿宋_GBK" w:hAnsi="方正仿宋_GBK" w:eastAsia="方正仿宋_GBK" w:cs="方正仿宋_GBK"/>
          <w:color w:val="000000"/>
          <w:sz w:val="32"/>
          <w:szCs w:val="32"/>
        </w:rPr>
        <w:t>《国务院关于取消和下放一批行政许可事项的决定》（国发〔2020〕13号）等</w:t>
      </w:r>
      <w:r>
        <w:rPr>
          <w:rFonts w:hint="eastAsia" w:ascii="方正仿宋_GBK" w:hAnsi="方正仿宋_GBK" w:eastAsia="方正仿宋_GBK" w:cs="方正仿宋_GBK"/>
          <w:color w:val="000000"/>
          <w:sz w:val="32"/>
          <w:szCs w:val="32"/>
          <w:lang w:eastAsia="zh-CN"/>
        </w:rPr>
        <w:t>文件要求，结合我区实际，自治区人民政府决定调整本级</w:t>
      </w:r>
      <w:r>
        <w:rPr>
          <w:rFonts w:hint="eastAsia" w:ascii="方正仿宋_GBK" w:hAnsi="方正仿宋_GBK" w:eastAsia="方正仿宋_GBK" w:cs="方正仿宋_GBK"/>
          <w:color w:val="000000"/>
          <w:sz w:val="32"/>
          <w:szCs w:val="32"/>
          <w:lang w:val="en-US" w:eastAsia="zh-CN"/>
        </w:rPr>
        <w:t>54</w:t>
      </w:r>
      <w:r>
        <w:rPr>
          <w:rFonts w:hint="eastAsia" w:ascii="方正仿宋_GBK" w:hAnsi="方正仿宋_GBK" w:eastAsia="方正仿宋_GBK" w:cs="方正仿宋_GBK"/>
          <w:color w:val="000000"/>
          <w:sz w:val="32"/>
          <w:szCs w:val="32"/>
          <w:lang w:eastAsia="zh-CN"/>
        </w:rPr>
        <w:t>项行政权力事项，其中，</w:t>
      </w:r>
      <w:r>
        <w:rPr>
          <w:rFonts w:hint="eastAsia" w:ascii="方正仿宋_GBK" w:hAnsi="方正仿宋_GBK" w:eastAsia="方正仿宋_GBK" w:cs="方正仿宋_GBK"/>
          <w:color w:val="000000"/>
          <w:sz w:val="32"/>
          <w:szCs w:val="32"/>
          <w:lang w:val="en-US" w:eastAsia="zh-CN"/>
        </w:rPr>
        <w:t>取消5项，新增（承接）24项，变更（合并、修改设定依据、变更事项名称）25项。</w:t>
      </w:r>
    </w:p>
    <w:p>
      <w:pPr>
        <w:keepNext w:val="0"/>
        <w:keepLines w:val="0"/>
        <w:pageBreakBefore w:val="0"/>
        <w:widowControl w:val="0"/>
        <w:kinsoku/>
        <w:wordWrap/>
        <w:overflowPunct/>
        <w:topLinePunct/>
        <w:autoSpaceDE/>
        <w:autoSpaceDN/>
        <w:bidi w:val="0"/>
        <w:adjustRightInd/>
        <w:snapToGrid/>
        <w:spacing w:line="48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自治区各相关部门要认真做好本次调整的行政权力事项落实和衔接工作。对取消的事项，一律不得再实施或变相实施，并根据《国务院关于加强和规范事中事后监管的指导意见》（国发</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2019</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18</w:t>
      </w:r>
      <w:r>
        <w:rPr>
          <w:rFonts w:hint="eastAsia" w:ascii="方正仿宋_GBK" w:hAnsi="方正仿宋_GBK" w:eastAsia="方正仿宋_GBK" w:cs="方正仿宋_GBK"/>
          <w:color w:val="000000"/>
          <w:sz w:val="32"/>
          <w:szCs w:val="32"/>
        </w:rPr>
        <w:t>号）</w:t>
      </w:r>
      <w:r>
        <w:rPr>
          <w:rFonts w:hint="eastAsia" w:ascii="方正仿宋_GBK" w:hAnsi="方正仿宋_GBK" w:eastAsia="方正仿宋_GBK" w:cs="方正仿宋_GBK"/>
          <w:color w:val="000000"/>
          <w:sz w:val="32"/>
          <w:szCs w:val="32"/>
          <w:lang w:eastAsia="zh-CN"/>
        </w:rPr>
        <w:t>要求，制定切实有效措施加强事中事后监管，避免出现管理真空；对承接的事项，承接部门要主动对接下放部门，熟悉和优化业务办理流程，大力推动政务服务网上办理，确保接得住、管得好；对保留的事项要在全区一体化政务服务平台和自治区“互联网</w:t>
      </w:r>
      <w:r>
        <w:rPr>
          <w:rFonts w:hint="eastAsia" w:ascii="方正仿宋_GBK" w:hAnsi="方正仿宋_GBK" w:eastAsia="方正仿宋_GBK" w:cs="方正仿宋_GBK"/>
          <w:color w:val="000000"/>
          <w:sz w:val="32"/>
          <w:szCs w:val="32"/>
          <w:lang w:val="en-US" w:eastAsia="zh-CN"/>
        </w:rPr>
        <w:t>+监管”系统中配置相应事项基本要素、运行流程等，确保权力运行规范有序。</w:t>
      </w:r>
    </w:p>
    <w:p>
      <w:pPr>
        <w:keepNext w:val="0"/>
        <w:keepLines w:val="0"/>
        <w:pageBreakBefore w:val="0"/>
        <w:widowControl w:val="0"/>
        <w:kinsoku/>
        <w:wordWrap/>
        <w:overflowPunct/>
        <w:topLinePunct/>
        <w:autoSpaceDE/>
        <w:autoSpaceDN/>
        <w:bidi w:val="0"/>
        <w:adjustRightInd/>
        <w:snapToGrid/>
        <w:spacing w:line="48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自治区各相关部门务于本决定印发之日起</w:t>
      </w:r>
      <w:r>
        <w:rPr>
          <w:rFonts w:hint="eastAsia" w:ascii="方正仿宋_GBK" w:hAnsi="方正仿宋_GBK" w:eastAsia="方正仿宋_GBK" w:cs="方正仿宋_GBK"/>
          <w:color w:val="000000"/>
          <w:sz w:val="32"/>
          <w:szCs w:val="32"/>
          <w:lang w:val="en-US" w:eastAsia="zh-CN"/>
        </w:rPr>
        <w:t>20个工作日内，在自治区政府门户网站、各部门网站、政务服务大厅（窗口）公布涉及调整的行政权力事项及</w:t>
      </w:r>
      <w:r>
        <w:rPr>
          <w:rFonts w:hint="eastAsia" w:ascii="方正仿宋_GBK" w:hAnsi="方正仿宋_GBK" w:eastAsia="方正仿宋_GBK" w:cs="方正仿宋_GBK"/>
          <w:color w:val="auto"/>
          <w:sz w:val="32"/>
          <w:szCs w:val="32"/>
          <w:lang w:val="en-US" w:eastAsia="zh-CN"/>
        </w:rPr>
        <w:t>本部门最新完整版权责清单（包含权力名称、类别、责任主体、设定依据、责任事项、追责情形及追责依据等内容），</w:t>
      </w:r>
      <w:r>
        <w:rPr>
          <w:rFonts w:hint="eastAsia" w:ascii="方正仿宋_GBK" w:hAnsi="方正仿宋_GBK" w:eastAsia="方正仿宋_GBK" w:cs="方正仿宋_GBK"/>
          <w:color w:val="000000"/>
          <w:sz w:val="32"/>
          <w:szCs w:val="32"/>
          <w:lang w:val="en-US" w:eastAsia="zh-CN"/>
        </w:rPr>
        <w:t>并加强宣传解读和督促落实。</w:t>
      </w:r>
    </w:p>
    <w:p>
      <w:pPr>
        <w:keepNext w:val="0"/>
        <w:keepLines w:val="0"/>
        <w:pageBreakBefore w:val="0"/>
        <w:widowControl w:val="0"/>
        <w:kinsoku/>
        <w:wordWrap/>
        <w:overflowPunct/>
        <w:topLinePunct/>
        <w:autoSpaceDE/>
        <w:autoSpaceDN/>
        <w:bidi w:val="0"/>
        <w:adjustRightInd/>
        <w:snapToGrid/>
        <w:spacing w:line="48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80" w:lineRule="exact"/>
        <w:ind w:left="638" w:leftChars="304" w:firstLine="0" w:firstLineChars="0"/>
        <w:jc w:val="both"/>
        <w:textAlignment w:val="auto"/>
        <w:rPr>
          <w:rFonts w:hint="eastAsia" w:ascii="方正仿宋_GBK" w:hAnsi="方正仿宋_GBK" w:eastAsia="方正仿宋_GBK" w:cs="方正仿宋_GBK"/>
          <w:spacing w:val="-11"/>
          <w:sz w:val="32"/>
          <w:szCs w:val="32"/>
          <w:lang w:val="en-US" w:eastAsia="zh-CN"/>
        </w:rPr>
      </w:pPr>
      <w:r>
        <w:rPr>
          <w:rFonts w:hint="eastAsia" w:ascii="方正仿宋_GBK" w:hAnsi="方正仿宋_GBK" w:eastAsia="方正仿宋_GBK" w:cs="方正仿宋_GBK"/>
          <w:sz w:val="32"/>
          <w:szCs w:val="32"/>
          <w:lang w:val="en-US" w:eastAsia="zh-CN"/>
        </w:rPr>
        <w:t>附件：1.</w:t>
      </w:r>
      <w:r>
        <w:rPr>
          <w:rFonts w:hint="eastAsia" w:ascii="方正仿宋_GBK" w:hAnsi="方正仿宋_GBK" w:eastAsia="方正仿宋_GBK" w:cs="方正仿宋_GBK"/>
          <w:spacing w:val="-11"/>
          <w:sz w:val="32"/>
          <w:szCs w:val="32"/>
          <w:lang w:val="en-US" w:eastAsia="zh-CN"/>
        </w:rPr>
        <w:t>内蒙古自治区人民政府决定取消的5项行政权力事项</w:t>
      </w:r>
    </w:p>
    <w:p>
      <w:pPr>
        <w:keepNext w:val="0"/>
        <w:keepLines w:val="0"/>
        <w:pageBreakBefore w:val="0"/>
        <w:widowControl w:val="0"/>
        <w:numPr>
          <w:ilvl w:val="0"/>
          <w:numId w:val="0"/>
        </w:numPr>
        <w:kinsoku/>
        <w:wordWrap/>
        <w:overflowPunct/>
        <w:topLinePunct/>
        <w:autoSpaceDE/>
        <w:autoSpaceDN/>
        <w:bidi w:val="0"/>
        <w:adjustRightInd/>
        <w:snapToGrid/>
        <w:spacing w:line="480" w:lineRule="exact"/>
        <w:ind w:left="1916" w:leftChars="760" w:hanging="320" w:hangingChars="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2.内蒙古自治区人民政府决定新增（承接）的24项行政权力事项</w:t>
      </w:r>
    </w:p>
    <w:p>
      <w:pPr>
        <w:keepNext w:val="0"/>
        <w:keepLines w:val="0"/>
        <w:pageBreakBefore w:val="0"/>
        <w:widowControl w:val="0"/>
        <w:numPr>
          <w:ilvl w:val="0"/>
          <w:numId w:val="0"/>
        </w:numPr>
        <w:tabs>
          <w:tab w:val="left" w:pos="7560"/>
        </w:tabs>
        <w:kinsoku/>
        <w:wordWrap/>
        <w:overflowPunct/>
        <w:topLinePunct/>
        <w:autoSpaceDE/>
        <w:autoSpaceDN/>
        <w:bidi w:val="0"/>
        <w:adjustRightInd/>
        <w:snapToGrid/>
        <w:spacing w:line="480" w:lineRule="exact"/>
        <w:ind w:left="1916" w:leftChars="760" w:hanging="320" w:hangingChars="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3.内蒙古自治区人民政府决定变更的25项行政权力事项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480" w:lineRule="exact"/>
        <w:ind w:left="0" w:leftChars="0" w:firstLine="5120" w:firstLineChars="16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2021年7月2日</w:t>
      </w:r>
    </w:p>
    <w:p>
      <w:pPr>
        <w:adjustRightInd w:val="0"/>
        <w:snapToGrid w:val="0"/>
        <w:spacing w:line="240" w:lineRule="auto"/>
        <w:rPr>
          <w:rFonts w:hint="eastAsia" w:ascii="黑体" w:eastAsia="黑体"/>
          <w:sz w:val="32"/>
          <w:lang w:eastAsia="zh-CN"/>
        </w:rPr>
      </w:pPr>
      <w:r>
        <w:rPr>
          <w:rFonts w:hint="eastAsia" w:ascii="方正仿宋_GBK" w:hAnsi="方正仿宋_GBK" w:eastAsia="方正仿宋_GBK" w:cs="方正仿宋_GBK"/>
          <w:sz w:val="32"/>
          <w:szCs w:val="32"/>
          <w:lang w:val="en-US" w:eastAsia="zh-CN"/>
        </w:rPr>
        <w:t>（此件公开发布）</w:t>
      </w:r>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adjustRightInd w:val="0"/>
        <w:snapToGrid w:val="0"/>
        <w:spacing w:line="580" w:lineRule="exact"/>
        <w:rPr>
          <w:rFonts w:hint="eastAsia" w:ascii="黑体" w:eastAsia="黑体"/>
          <w:sz w:val="32"/>
        </w:rPr>
      </w:pPr>
    </w:p>
    <w:p>
      <w:pPr>
        <w:pStyle w:val="2"/>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8989" w:type="dxa"/>
            <w:noWrap w:val="0"/>
            <w:vAlign w:val="top"/>
          </w:tcPr>
          <w:p>
            <w:pPr>
              <w:spacing w:line="400" w:lineRule="exact"/>
              <w:ind w:firstLine="280" w:firstLineChars="100"/>
              <w:rPr>
                <w:rFonts w:ascii="仿宋_GB2312" w:eastAsia="仿宋_GB2312"/>
                <w:sz w:val="28"/>
                <w:szCs w:val="28"/>
              </w:rPr>
            </w:pPr>
            <w:r>
              <w:rPr>
                <w:rFonts w:hint="eastAsia" w:ascii="仿宋_GB2312" w:eastAsia="仿宋_GB2312"/>
                <w:sz w:val="28"/>
                <w:szCs w:val="28"/>
              </w:rPr>
              <w:t>抄送：自治区党委各部门，内蒙古军区，武警内蒙古总队。</w:t>
            </w:r>
          </w:p>
          <w:p>
            <w:pPr>
              <w:spacing w:line="400" w:lineRule="exact"/>
              <w:ind w:firstLine="1148" w:firstLineChars="410"/>
              <w:rPr>
                <w:rFonts w:hint="eastAsia" w:ascii="仿宋_GB2312" w:eastAsia="仿宋_GB2312"/>
                <w:sz w:val="28"/>
                <w:szCs w:val="28"/>
                <w:lang w:eastAsia="zh-CN"/>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p>
          <w:p>
            <w:pPr>
              <w:spacing w:line="400" w:lineRule="exact"/>
              <w:ind w:firstLine="1148" w:firstLineChars="410"/>
              <w:rPr>
                <w:rFonts w:ascii="仿宋_GB2312" w:eastAsia="仿宋_GB2312"/>
                <w:sz w:val="28"/>
                <w:szCs w:val="28"/>
              </w:rPr>
            </w:pPr>
            <w:r>
              <w:rPr>
                <w:rFonts w:hint="eastAsia" w:ascii="仿宋_GB2312" w:eastAsia="仿宋_GB2312"/>
                <w:sz w:val="28"/>
                <w:szCs w:val="28"/>
              </w:rPr>
              <w:t>高级人民法院，检察院。</w:t>
            </w:r>
          </w:p>
          <w:p>
            <w:pPr>
              <w:spacing w:line="400" w:lineRule="exact"/>
              <w:ind w:firstLine="1148" w:firstLineChars="410"/>
              <w:rPr>
                <w:rFonts w:ascii="仿宋_GB2312" w:eastAsia="仿宋_GB2312"/>
                <w:sz w:val="28"/>
                <w:szCs w:val="28"/>
              </w:rPr>
            </w:pPr>
            <w:r>
              <w:rPr>
                <w:rFonts w:hint="eastAsia" w:ascii="仿宋_GB2312" w:eastAsia="仿宋_GB2312"/>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wBefore w:w="0" w:type="dxa"/>
        </w:trPr>
        <w:tc>
          <w:tcPr>
            <w:tcW w:w="8989" w:type="dxa"/>
            <w:noWrap w:val="0"/>
            <w:vAlign w:val="top"/>
          </w:tcPr>
          <w:p>
            <w:pPr>
              <w:ind w:firstLine="280" w:firstLineChars="100"/>
              <w:rPr>
                <w:rFonts w:ascii="仿宋_GB2312" w:eastAsia="仿宋_GB2312"/>
                <w:sz w:val="28"/>
                <w:szCs w:val="28"/>
              </w:rPr>
            </w:pPr>
            <w:r>
              <w:rPr>
                <w:rFonts w:hint="eastAsia" w:ascii="仿宋_GB2312" w:eastAsia="仿宋_GB2312"/>
                <w:sz w:val="28"/>
                <w:szCs w:val="28"/>
              </w:rPr>
              <w:t>内蒙古自治区人民政府办公厅文电处         202</w:t>
            </w:r>
            <w:r>
              <w:rPr>
                <w:rFonts w:hint="eastAsia" w:ascii="仿宋_GB2312" w:eastAsia="仿宋_GB2312"/>
                <w:sz w:val="28"/>
                <w:szCs w:val="28"/>
                <w:lang w:val="en-US" w:eastAsia="zh-CN"/>
              </w:rPr>
              <w:t>1</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w:t>
            </w:r>
            <w:r>
              <w:rPr>
                <w:rFonts w:hint="eastAsia" w:ascii="仿宋_GB2312" w:eastAsia="仿宋_GB2312"/>
                <w:sz w:val="28"/>
                <w:szCs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4697730</wp:posOffset>
                </wp:positionH>
                <wp:positionV relativeFrom="paragraph">
                  <wp:posOffset>147320</wp:posOffset>
                </wp:positionV>
                <wp:extent cx="841375" cy="357505"/>
                <wp:effectExtent l="8255" t="7620" r="7620" b="15875"/>
                <wp:wrapNone/>
                <wp:docPr id="1" name="文本框 11"/>
                <wp:cNvGraphicFramePr/>
                <a:graphic xmlns:a="http://schemas.openxmlformats.org/drawingml/2006/main">
                  <a:graphicData uri="http://schemas.microsoft.com/office/word/2010/wordprocessingShape">
                    <wps:wsp>
                      <wps:cNvSpPr txBox="true"/>
                      <wps:spPr>
                        <a:xfrm>
                          <a:off x="0" y="0"/>
                          <a:ext cx="841375" cy="357505"/>
                        </a:xfrm>
                        <a:prstGeom prst="rect">
                          <a:avLst/>
                        </a:prstGeom>
                        <a:solidFill>
                          <a:srgbClr val="FFFFFF"/>
                        </a:solidFill>
                        <a:ln w="15875" cap="flat" cmpd="sng">
                          <a:solidFill>
                            <a:srgbClr val="FFFFFF"/>
                          </a:solidFill>
                          <a:prstDash val="solid"/>
                          <a:miter/>
                          <a:headEnd type="none" w="med" len="med"/>
                          <a:tailEnd type="none" w="med" len="med"/>
                        </a:ln>
                      </wps:spPr>
                      <wps:txbx>
                        <w:txbxContent>
                          <w:p/>
                        </w:txbxContent>
                      </wps:txbx>
                      <wps:bodyPr wrap="square" upright="true"/>
                    </wps:wsp>
                  </a:graphicData>
                </a:graphic>
              </wp:anchor>
            </w:drawing>
          </mc:Choice>
          <mc:Fallback>
            <w:pict>
              <v:shape id="文本框 11" o:spid="_x0000_s1026" o:spt="202" type="#_x0000_t202" style="position:absolute;left:0pt;margin-left:369.9pt;margin-top:11.6pt;height:28.15pt;width:66.25pt;z-index:251659264;mso-width-relative:page;mso-height-relative:page;" fillcolor="#FFFFFF" filled="t" stroked="t" coordsize="21600,21600" o:gfxdata="UEsFBgAAAAAAAAAAAAAAAAAAAAAAAFBLAwQKAAAAAACHTuJAAAAAAAAAAAAAAAAABAAAAGRycy9Q&#10;SwMEFAAAAAgAh07iQGguFLrYAAAACQEAAA8AAABkcnMvZG93bnJldi54bWxNj8FOwzAQRO9I/IO1&#10;SFwq6tQRpA1xKlEVJI4UDhy38TaOGq+j2G0DX485wXE0o5k31XpyvTjTGDrPGhbzDARx403HrYaP&#10;9+e7JYgQkQ32nknDFwVY19dXFZbGX/iNzrvYilTCoUQNNsahlDI0lhyGuR+Ik3fwo8OY5NhKM+Il&#10;lbteqix7kA47TgsWB9pYao67k9Pw0sw+j6/bbFbgVlncTPZbHZ60vr1ZZI8gIk3xLwy/+Akd6sS0&#10;9yc2QfQainyV0KMGlSsQKbAsVA5in5zVPci6kv8f1D9QSwMEFAAAAAgAh07iQIik+N34AQAA/QMA&#10;AA4AAABkcnMvZTJvRG9jLnhtbK1TS47UMBDdI3EHy3s6yQxhWlGnR4Km2SBAGjhAte0klvzDdnfS&#10;F4AbsGLDnnP1OSi7P8PAZoTIwinb5Vev3rMXt5NWZCd8kNa0tJqVlAjDLJemb+mnj+tnc0pCBMNB&#10;WSNauheB3i6fPlmMrhFXdrCKC08QxIRmdC0dYnRNUQQ2CA1hZp0wuNlZryHi1PcF9zAiulbFVVm+&#10;KEbrufOWiRBwdXXcpMuM33WCxfddF0QkqqXILebR53GTxmK5gKb34AbJTjTgH1hokAaLXqBWEIFs&#10;vfwLSkvmbbBdnDGrC9t1koncA3ZTlX90czeAE7kXFCe4i0zh/8Gyd7sPnkiO3lFiQKNFh29fD99/&#10;Hn58IVWV9BldaDDtzmFinF7aqaXRb8V5K+B66nzqvE5/7IlgCoq9vwgspkgYLs6fV9c3NSUMt67r&#10;m7qsE0pxf9j5EN8Iq0kKWurRvywr7N6GeEw9p6RawSrJ11KpPPH95pXyZAfo9Tp/J/QHacqQEbut&#10;55kI4J3rFETkpB2qEEyfCz44Eh6HnJitIAxHBhkhEYBGyyh8jgYB/LXhJO4dKm3wSdDERgtOiRL4&#10;glKUMyNI9ZhMFE8Z1DC5dLQiRXHaTAiTwo3le3RuxDuO7X3egseaW+dlP6DCZyfzebxj2Y3Te0iX&#10;+Pd5rnL/ap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guFLrYAAAACQEAAA8AAAAAAAAAAQAg&#10;AAAAOAAAAGRycy9kb3ducmV2LnhtbFBLAQIUABQAAAAIAIdO4kCIpPjd+AEAAP0DAAAOAAAAAAAA&#10;AAEAIAAAAD0BAABkcnMvZTJvRG9jLnhtbFBLBQYAAAAABgAGAFkBAACnBQAAAAA=&#10;">
                <v:fill on="t" focussize="0,0"/>
                <v:stroke weight="1.25pt" color="#FFFFFF" joinstyle="miter"/>
                <v:imagedata o:title=""/>
                <o:lock v:ext="edit" aspectratio="f"/>
                <v:textbox>
                  <w:txbxContent>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FF687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0A9D"/>
    <w:rsid w:val="001316F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21CA"/>
    <w:rsid w:val="00284880"/>
    <w:rsid w:val="00285AEE"/>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078D"/>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6904"/>
    <w:rsid w:val="005C79E2"/>
    <w:rsid w:val="005D07B3"/>
    <w:rsid w:val="005D1611"/>
    <w:rsid w:val="005E5234"/>
    <w:rsid w:val="005E7F3F"/>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02E7"/>
    <w:rsid w:val="0063404D"/>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051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27F95"/>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296A"/>
    <w:rsid w:val="00774B22"/>
    <w:rsid w:val="00777A09"/>
    <w:rsid w:val="00782CF7"/>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59E1"/>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428"/>
    <w:rsid w:val="0094465F"/>
    <w:rsid w:val="00946C62"/>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5EA4"/>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363"/>
    <w:rsid w:val="00A42678"/>
    <w:rsid w:val="00A44782"/>
    <w:rsid w:val="00A51056"/>
    <w:rsid w:val="00A52ADA"/>
    <w:rsid w:val="00A54A96"/>
    <w:rsid w:val="00A55F01"/>
    <w:rsid w:val="00A5779D"/>
    <w:rsid w:val="00A57AB0"/>
    <w:rsid w:val="00A62053"/>
    <w:rsid w:val="00A66B95"/>
    <w:rsid w:val="00A67E61"/>
    <w:rsid w:val="00A72786"/>
    <w:rsid w:val="00A746B2"/>
    <w:rsid w:val="00A74FC4"/>
    <w:rsid w:val="00A75048"/>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1491"/>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57BE1"/>
    <w:rsid w:val="00B6035B"/>
    <w:rsid w:val="00B62F6F"/>
    <w:rsid w:val="00B64E58"/>
    <w:rsid w:val="00B666ED"/>
    <w:rsid w:val="00B70DED"/>
    <w:rsid w:val="00B7317D"/>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259A"/>
    <w:rsid w:val="00BB62CF"/>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165B"/>
    <w:rsid w:val="00C023A4"/>
    <w:rsid w:val="00C03B39"/>
    <w:rsid w:val="00C03DAB"/>
    <w:rsid w:val="00C0403E"/>
    <w:rsid w:val="00C05D5F"/>
    <w:rsid w:val="00C05D8C"/>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170"/>
    <w:rsid w:val="00C91FF9"/>
    <w:rsid w:val="00C92F43"/>
    <w:rsid w:val="00C944E5"/>
    <w:rsid w:val="00C96FC0"/>
    <w:rsid w:val="00CA30D7"/>
    <w:rsid w:val="00CA4F90"/>
    <w:rsid w:val="00CB25E7"/>
    <w:rsid w:val="00CB3AE8"/>
    <w:rsid w:val="00CB3EA3"/>
    <w:rsid w:val="00CB5D2C"/>
    <w:rsid w:val="00CC14E4"/>
    <w:rsid w:val="00CC2443"/>
    <w:rsid w:val="00CD11B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6FD"/>
    <w:rsid w:val="00D6281A"/>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4BF9"/>
    <w:rsid w:val="00E95E66"/>
    <w:rsid w:val="00E966C3"/>
    <w:rsid w:val="00E97D6F"/>
    <w:rsid w:val="00E97EB0"/>
    <w:rsid w:val="00EA42FC"/>
    <w:rsid w:val="00EA5D2D"/>
    <w:rsid w:val="00EA7412"/>
    <w:rsid w:val="00EB67DA"/>
    <w:rsid w:val="00EC29B6"/>
    <w:rsid w:val="00EC2A81"/>
    <w:rsid w:val="00EC6399"/>
    <w:rsid w:val="00EC7B6C"/>
    <w:rsid w:val="00ED00C1"/>
    <w:rsid w:val="00ED059D"/>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713720"/>
    <w:rsid w:val="078C13C2"/>
    <w:rsid w:val="07F619D3"/>
    <w:rsid w:val="122B5F5D"/>
    <w:rsid w:val="1AF420BF"/>
    <w:rsid w:val="1D65343C"/>
    <w:rsid w:val="1EBD38C5"/>
    <w:rsid w:val="1ED24BFE"/>
    <w:rsid w:val="26A13CCE"/>
    <w:rsid w:val="2C9F199B"/>
    <w:rsid w:val="309C2C17"/>
    <w:rsid w:val="30EDD650"/>
    <w:rsid w:val="336C61C1"/>
    <w:rsid w:val="36505A0E"/>
    <w:rsid w:val="367F63E4"/>
    <w:rsid w:val="497D69A7"/>
    <w:rsid w:val="4BCDAE42"/>
    <w:rsid w:val="4D065882"/>
    <w:rsid w:val="4E4E1961"/>
    <w:rsid w:val="4EE94600"/>
    <w:rsid w:val="4FF93F3F"/>
    <w:rsid w:val="50BC4847"/>
    <w:rsid w:val="510421D5"/>
    <w:rsid w:val="56B8166F"/>
    <w:rsid w:val="606D22D5"/>
    <w:rsid w:val="63D9DF59"/>
    <w:rsid w:val="64E9199C"/>
    <w:rsid w:val="68A821CB"/>
    <w:rsid w:val="68C33A96"/>
    <w:rsid w:val="6A0E2ADF"/>
    <w:rsid w:val="6D5C168E"/>
    <w:rsid w:val="6ECF23D3"/>
    <w:rsid w:val="6FEF7FEB"/>
    <w:rsid w:val="72FE40EA"/>
    <w:rsid w:val="733345C5"/>
    <w:rsid w:val="75D65804"/>
    <w:rsid w:val="77BEF901"/>
    <w:rsid w:val="7ADF8A2F"/>
    <w:rsid w:val="7BEE1982"/>
    <w:rsid w:val="7CE936F0"/>
    <w:rsid w:val="7D6210B9"/>
    <w:rsid w:val="7EDCBAA2"/>
    <w:rsid w:val="7F6F3DF5"/>
    <w:rsid w:val="7FFEF58F"/>
    <w:rsid w:val="B77585D3"/>
    <w:rsid w:val="B8FF6877"/>
    <w:rsid w:val="DE7C0F76"/>
    <w:rsid w:val="EB7D4913"/>
    <w:rsid w:val="F33B7F92"/>
    <w:rsid w:val="FB1F01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9"/>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1"/>
    <w:basedOn w:val="7"/>
    <w:link w:val="2"/>
    <w:uiPriority w:val="0"/>
    <w:rPr>
      <w:rFonts w:ascii="仿宋_GB2312" w:hAnsi="Times New Roman" w:eastAsia="仿宋_GB2312" w:cs="Times New Roman"/>
      <w:kern w:val="2"/>
      <w:sz w:val="32"/>
      <w:szCs w:val="24"/>
      <w:lang w:bidi="ar-SA"/>
    </w:rPr>
  </w:style>
  <w:style w:type="character" w:customStyle="1" w:styleId="10">
    <w:name w:val=" Char Char2"/>
    <w:basedOn w:val="7"/>
    <w:link w:val="4"/>
    <w:semiHidden/>
    <w:uiPriority w:val="99"/>
    <w:rPr>
      <w:rFonts w:ascii="Calibri" w:hAnsi="Calibri" w:eastAsia="宋体" w:cs="Mongolian Baiti"/>
      <w:kern w:val="2"/>
      <w:sz w:val="18"/>
      <w:szCs w:val="22"/>
    </w:rPr>
  </w:style>
  <w:style w:type="character" w:customStyle="1" w:styleId="11">
    <w:name w:val=" Char Char"/>
    <w:basedOn w:val="7"/>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0</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2012-11-19T06:51:00Z</dcterms:created>
  <dc:creator>王蕾:打印</dc:creator>
  <cp:lastModifiedBy>thtf</cp:lastModifiedBy>
  <dcterms:modified xsi:type="dcterms:W3CDTF">2021-07-09T16:37:22Z</dcterms:modified>
  <dc:title>_x0001_</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