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内蒙古自治区无障碍环境建设办法</w:t>
      </w:r>
    </w:p>
    <w:p>
      <w:pPr>
        <w:ind w:firstLine="640" w:firstLineChars="200"/>
      </w:pPr>
      <w:r>
        <w:rPr>
          <w:rFonts w:hint="eastAsia" w:ascii="楷体" w:hAnsi="楷体" w:eastAsia="楷体" w:cs="楷体"/>
          <w:bCs/>
          <w:sz w:val="32"/>
          <w:szCs w:val="32"/>
        </w:rPr>
        <w:t>（2018年5月31日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自治区人民政府令第232号公布  自2018年7月1日起施行）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为了创造无障碍环境，保障残疾人等社会成员平等参与社会生活，根据《中华人民共和国残疾人保障法》《无障碍环境建设条例》和《建设工程质量管理条例》等法律、法规，结合自治区实际，制定本办法。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自治区行政区域内的无障碍环境建设及相关管理活动适用本办法。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本办法所称无障碍环境建设，是指为便于残疾人、老年人、伤病患者、孕妇和儿童等社会成员自主安全地通行道路、出入相关建筑物、搭乘公共交通工具、交流信息、获得社区服务所进行的建设活动。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无障碍环境建设应当与自治区经济和社会发展水平相适应，符合残疾人等社会成员的实际需要，遵循实用、易行、广泛受益的原则。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旗县级以上人民政府负责组织编制无障碍环境建设发展规划并组织实施。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编制无障碍环境建设发展规划，应当征求残疾人组织、老年人组织和妇女组织等社会组织的意见。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无障碍环境建设发展规划应当纳入国民经济和社会发展规划以及城乡规划。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旗县级以上人民政府残疾人工作委员会负责协调本行政区域内的无障碍环境建设与管理工作。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旗县级以上人民政府住房和城乡建设主管部门负责本行政区域内无障碍设施工程建设活动的监督管理工作。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旗县级以上人民政府发展和改革、经济和信息化、民政、公安、规划、金融、通信、邮政、铁路、民航等有关部门在各自职责范围内做好无障碍环境建设与管理工作。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苏木乡镇人民政府、街道办事处配合有关部门做好无障碍环境建设与管理工作。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旗县级以上人民政府及其有关部门应当利用广播、电视、报刊、互联网等媒体，加强对无障碍环境建设的宣传，增强全社会成员的无障碍环境建设意识。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鼓励自然人、法人、非法人组织为无障碍环境建设提供捐助及志愿服务。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提供公共服务的国家机关、社会团体、企业事业单位和基层群众性自治组织，应当对相关工作人员进行无障碍知识教育和培训。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任何单位和个人可以对无障碍环境建设和管理情况向有关部门提出意见或者建议，有关部门应当及时办理并答复。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对在无障碍环境建设工作中作出显著成绩的单位和个人，按照国家有关规定给予表彰和奖励。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第二章 无障碍设施建设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城镇新建、改建、扩建的道路、城市广场、城市绿地、公共建筑、公共交通设施、居住建筑、居住区，应当符合无障碍设施工程建设标准。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苏木乡镇、嘎查村的建设，应当逐步达到无障碍设施工程建设标准。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无障碍设施工程应当与主体工程同步设计、同步施工、同步验收投入使用。新建的无障碍设施应当与周边的无障碍设施相衔接。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设计单位应当按照《无障碍设计规范》等标准规范的要求，设计配套的无障碍设施。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施工图设计文件审查机构应当按照相应的标准规范进行审查。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施工单位应当依据审查合格的施工图设计文件和《无障碍设施施工验收及维护规范》等相关施工技术标准，进行无障碍设施的施工，并对施工质量负责。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工程监理单位应当依据审查合格的施工图设计文件和《无障碍设施施工验收及维护规范》等相关施工、验收规程，对无障碍设施的施工质量实施监理，并对施工质量承担监理责任。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建设单位在组织建设工程竣工验收时，应当同时对无障碍设施进行验收。无障碍设施未依据审查合格的施工图设计文件和《无障碍设施施工验收及维护规范》等相关施工技术标准施工的，不得通过竣工验收。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无障碍设施建设应当符合安全、适用和便利的基本要求，并遵守下列规定：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（一）城市的主要道路、主要商业区、大型居住区的人行天桥和人行地下通道，应当按照无障碍设施工程建设标准配备无障碍设施。人行道的路口、公共建筑物的地面应当平整、防滑，出入口应当设置轮椅坡道；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（二）盲道铺设应当连续，与周边的公共交通停靠站、过街天桥、公共建筑的无障碍设施相连接，并避开电线杆、拉线、地下检查井、树木（穴）等障碍物；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（三）公共建筑、历史文化保护单位建筑内的售票处、服务台、公用电话、饮水器等公共设施应当设置低位服务设施；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（四）公共建筑、公共交通设施的玻璃门、玻璃墙、楼梯口、电梯口和通道等处应当设置警示标志、信号或者指示装置；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（五）城市的主要道路、主要商业区和大型居住区的人行通道信号灯应当设置过街音响提示装置。新建交通信号灯，应当设置过街音响提示装置。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无障碍设施应当按照国际通用的无障碍标志设置，道路、公共场所无障碍设施图形标识、标志，应当按照国家以及地方标准设置。无障碍标志应当位置明显，内容清晰、规范。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无障碍设施的所有权人和管理人，应当对无障碍设施进行保护，有损毁或者故障及时进行维修，确保无障碍设施正常使用。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禁止损毁、擅自占用无障碍设施或者改变其用途。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城市建设、社会公益活动等原因需要临时占用城市道路的，应当避免占用无障碍设施；确需占用的，应当经无障碍设施所有权人或者管理人同意；依法应当经有关部门批准的，需报经有关部门批准，并设置护栏、警示标志或者信号设施，采取必要的替代措施。临时占用期满，应当及时恢复无障碍设施的使用功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对城镇已建成的不符合无障碍设施工程建设标准的道路、城市广场、城市绿地、公共建筑、公共交通设施、居住建筑、居住区，旗县级以上人民政府应当制定无障碍设施改造计划并组织实施。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无障碍设施改造由所有权人或者管理人负责。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旗县级以上人民政府应当优先推进下列机构、场所的无障碍设施改造：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（一）特殊教育、康复、托养、社会福利等机构；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（二）国家机关的公共服务场所；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（三）学校、医院、体育场馆、图书馆、文化馆、博物馆、科技馆、影剧院等公共服务场所；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（四）机场、火车站、汽车客运站等公共交通服务场所；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（五）金融、邮政、通信、商业、旅游等公共服务场所；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（六）城市的主要道路、广场、绿地、公园等公共服务场所；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（七）与残疾人工作、生活密切相关的其他服务场所。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公共汽车、城市轨道交通车辆的停靠站设置盲文站牌的，站牌的位置、高度、形式和内容应当方便视力障碍者使用。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公共汽车和轨道交通车辆应当逐步安装字幕、语音报站装置和供视力障碍者识别的车辆导盲系统。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下列停车场应当按照《无障碍设计规范》《城市公共停车场工程项目建设标准》等国家标准，在方便通行的位置设置并标明无障碍停车位：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（一）国家机关的公共服务场所停车场；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（二）大型商场、二级以上医院、三星级以上酒店停车场；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（三）残疾人服务、特殊教育、康复、托养、培训等机构服务场所停车场；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（四）车位在五十个以上的公共停车场；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（五）大型居住区的公共停车场。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无障碍停车位为肢体残疾人驾驶或者乘坐的机动车专用，无障碍停车位的地面应当涂有残疾人专用停车位标线、轮椅通道线和无障碍标志。肢体残疾人使用无障碍停车位时，应当在车辆明显位置放置《中华人民共和国残疾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鼓励停车场经营者免收或者减收残疾人停车费用。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视力障碍者携带导盲犬出入公共场所和乘坐公共交通工具，应当遵守国家有关规定，公共场所的工作人员应当按照国家有关规定提供无障碍服务。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无障碍信息交流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国家和自治区举办的各类升学、职业资格、任职等考试，有视力障碍者参加的，考试组织单位应当为视力障碍者提供盲文试卷、电子试卷，或者由工作人员予以协助。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自治区人民政府、盟行政公署、设区的市人民政府设立的电视台每周至少播放一次配备手语的新闻节目，旗县级人民政府设立的电视台逐步播放配备手语的新闻节目。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举办听力障碍者集中参加的会议和活动时，举办单位应当配备手语服务或者字幕。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旗县级以上人民政府设立的公共图书馆应当开设视力障碍者阅览室，提供盲文读物、有声读物，配备语音读屏软件，为视力障碍者阅读书籍、使用互联网提供便利。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自治区人民政府、盟行政公署、设区的市人民政府网站，政府公益活动网站、残疾人组织的网站，应当达到无障碍网站设计标准。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电信业务经营者提供电信服务，应当创造条件为有需求的听力、言语障碍者提供文字信息服务，为有需求的视力障碍者提供语音信息服务。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无障碍社区服务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社区公共服务设施应当逐步完善无障碍服务功能，为残疾人等社会成员参与社区活动提供便利。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各级人民政府应当完善具备图文信息报警、呼叫功能报警、医疗急救等紧急呼叫系统的建设，方便听力、言语障碍者报警、呼救。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旗县级以上人民政府应当将贫困残疾人家庭无障碍设施改造纳入基本公共服务范围并给予适当补助。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国家机关、社会团体以及基层群众自治组织等组织选举的单位，应当为残疾人参加选举提供便利，并根据需要为视力障碍者提供盲文选票。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违反本办法规定的行为，《中华人民共和国残疾人保障法》《无障碍环境建设条例》等法律、法规已经作出具体处罚规定的，从其规定。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违反本办法第十六条第一款规定，损毁无障碍设施，并影响无障碍设施使用的，由公安机关依照《中华人民共和国治安管理处罚法》等法律、法规予以处罚。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擅自占用无障碍设施或者改变其用途的，由住房和城乡建设主管部门依照《建设工程质量管理条例》给予处罚。构成犯罪的，依法追究刑事责任。造成使用人人身、财产损害的，应当同时承担经济赔偿责任。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违反本办法第二十条第二款规定，肢体残疾人驾驶或者乘坐的机动车以外的机动车占用无障碍停车位，影响肢体残疾人使用的，由公安机关交通管理部门责令改正，给予警告；拒不改正的，处以200元罚款。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无障碍环境建设主管部门工作人员滥用职权、玩忽职守、徇私舞弊的，依法给予处分；构成犯罪的，依法追究刑事责任。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本办法自2018年7月1日起施行。2008年4月8日内蒙古自治区人民政府公布的《内蒙古自治区无障碍建设管理办法》（内蒙古自治区人民政府令第156号）同时废止。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0EF53FC"/>
    <w:rsid w:val="22440422"/>
    <w:rsid w:val="2C0F1F40"/>
    <w:rsid w:val="31A15F24"/>
    <w:rsid w:val="395347B5"/>
    <w:rsid w:val="39A232A0"/>
    <w:rsid w:val="39E745AA"/>
    <w:rsid w:val="3B5A6BBB"/>
    <w:rsid w:val="3C485C7F"/>
    <w:rsid w:val="3EDA13A6"/>
    <w:rsid w:val="42F058B7"/>
    <w:rsid w:val="436109F6"/>
    <w:rsid w:val="441A38D4"/>
    <w:rsid w:val="4BC77339"/>
    <w:rsid w:val="4C8A7734"/>
    <w:rsid w:val="4C9236C5"/>
    <w:rsid w:val="505C172E"/>
    <w:rsid w:val="52F46F0B"/>
    <w:rsid w:val="53D8014D"/>
    <w:rsid w:val="55E064E0"/>
    <w:rsid w:val="56AD043A"/>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7</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