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640" w:lineRule="exact"/>
        <w:rPr>
          <w:rFonts w:hint="eastAsia" w:ascii="方正小标宋简体" w:hAnsi="方正小标宋简体" w:eastAsia="方正小标宋简体" w:cs="方正小标宋简体"/>
          <w:b w:val="0"/>
          <w:sz w:val="44"/>
          <w:szCs w:val="44"/>
        </w:rPr>
      </w:pPr>
    </w:p>
    <w:p>
      <w:pPr>
        <w:pStyle w:val="11"/>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内蒙古自治区</w:t>
      </w:r>
      <w:r>
        <w:rPr>
          <w:rFonts w:hint="eastAsia" w:ascii="方正小标宋简体" w:hAnsi="方正小标宋简体" w:eastAsia="方正小标宋简体" w:cs="方正小标宋简体"/>
          <w:b w:val="0"/>
          <w:sz w:val="44"/>
          <w:szCs w:val="44"/>
          <w:lang w:eastAsia="zh-CN"/>
        </w:rPr>
        <w:t>人民政府办公</w:t>
      </w:r>
      <w:r>
        <w:rPr>
          <w:rFonts w:hint="eastAsia" w:ascii="方正小标宋简体" w:hAnsi="方正小标宋简体" w:eastAsia="方正小标宋简体" w:cs="方正小标宋简体"/>
          <w:b w:val="0"/>
          <w:sz w:val="44"/>
          <w:szCs w:val="44"/>
        </w:rPr>
        <w:t>厅关于印发</w:t>
      </w:r>
    </w:p>
    <w:p>
      <w:pPr>
        <w:pStyle w:val="11"/>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小标宋简体" w:hAnsi="方正小标宋简体" w:eastAsia="方正小标宋简体" w:cs="方正小标宋简体"/>
          <w:b w:val="0"/>
          <w:sz w:val="44"/>
          <w:szCs w:val="44"/>
          <w:lang w:eastAsia="zh-CN"/>
        </w:rPr>
      </w:pPr>
      <w:r>
        <w:rPr>
          <w:rFonts w:hint="eastAsia" w:ascii="方正小标宋简体" w:hAnsi="方正小标宋简体" w:eastAsia="方正小标宋简体" w:cs="方正小标宋简体"/>
          <w:b w:val="0"/>
          <w:sz w:val="44"/>
          <w:szCs w:val="44"/>
        </w:rPr>
        <w:t>自治区水土保持目标责任考核办法的</w:t>
      </w:r>
      <w:r>
        <w:rPr>
          <w:rFonts w:hint="eastAsia" w:ascii="方正小标宋简体" w:hAnsi="方正小标宋简体" w:eastAsia="方正小标宋简体" w:cs="方正小标宋简体"/>
          <w:b w:val="0"/>
          <w:sz w:val="44"/>
          <w:szCs w:val="44"/>
          <w:lang w:eastAsia="zh-CN"/>
        </w:rPr>
        <w:t>通知</w:t>
      </w:r>
    </w:p>
    <w:p>
      <w:pPr>
        <w:pStyle w:val="11"/>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小标宋简体" w:hAnsi="方正小标宋简体" w:eastAsia="方正小标宋简体" w:cs="方正小标宋简体"/>
          <w:b w:val="0"/>
          <w:sz w:val="44"/>
          <w:szCs w:val="44"/>
          <w:lang w:eastAsia="zh-CN"/>
        </w:rPr>
      </w:pPr>
    </w:p>
    <w:p>
      <w:pPr>
        <w:pStyle w:val="11"/>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小标宋简体" w:hAnsi="方正小标宋简体" w:eastAsia="方正小标宋简体" w:cs="方正小标宋简体"/>
          <w:b w:val="0"/>
          <w:sz w:val="44"/>
          <w:szCs w:val="44"/>
          <w:lang w:eastAsia="zh-CN"/>
        </w:rPr>
      </w:pPr>
      <w:r>
        <w:rPr>
          <w:rFonts w:hint="eastAsia" w:ascii="仿宋_GB2312" w:hAnsi="华文仿宋" w:eastAsia="仿宋_GB2312"/>
          <w:sz w:val="32"/>
          <w:lang w:eastAsia="zh-CN"/>
        </w:rPr>
        <w:t>内政办发〔2022〕6号</w:t>
      </w:r>
    </w:p>
    <w:p>
      <w:pPr>
        <w:pStyle w:val="1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b w:val="0"/>
          <w:sz w:val="44"/>
          <w:szCs w:val="44"/>
          <w:lang w:eastAsia="zh-CN"/>
        </w:rPr>
      </w:pPr>
    </w:p>
    <w:p>
      <w:pPr>
        <w:pStyle w:val="11"/>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楷体简体" w:hAnsi="方正楷体简体" w:eastAsia="方正楷体简体" w:cs="方正楷体简体"/>
          <w:b w:val="0"/>
          <w:sz w:val="32"/>
          <w:szCs w:val="32"/>
          <w:lang w:eastAsia="zh-CN"/>
        </w:rPr>
      </w:pPr>
      <w:r>
        <w:rPr>
          <w:rFonts w:hint="eastAsia" w:ascii="方正楷体简体" w:hAnsi="方正楷体简体" w:eastAsia="方正楷体简体" w:cs="方正楷体简体"/>
          <w:b w:val="0"/>
          <w:sz w:val="32"/>
          <w:szCs w:val="32"/>
          <w:lang w:eastAsia="zh-CN"/>
        </w:rPr>
        <w:t>各盟行政公署、市人民政府，自治区各委、办、厅、局，各大企业、事业单位：</w:t>
      </w:r>
    </w:p>
    <w:p>
      <w:pPr>
        <w:pStyle w:val="11"/>
        <w:keepNext w:val="0"/>
        <w:keepLines w:val="0"/>
        <w:pageBreakBefore w:val="0"/>
        <w:widowControl w:val="0"/>
        <w:kinsoku/>
        <w:wordWrap/>
        <w:overflowPunct/>
        <w:topLinePunct w:val="0"/>
        <w:autoSpaceDE/>
        <w:autoSpaceDN/>
        <w:bidi w:val="0"/>
        <w:adjustRightInd/>
        <w:snapToGrid/>
        <w:spacing w:line="420" w:lineRule="exact"/>
        <w:ind w:firstLine="640"/>
        <w:jc w:val="both"/>
        <w:textAlignment w:val="auto"/>
        <w:rPr>
          <w:rFonts w:hint="eastAsia" w:ascii="方正楷体简体" w:hAnsi="方正楷体简体" w:eastAsia="方正楷体简体" w:cs="方正楷体简体"/>
          <w:b w:val="0"/>
          <w:sz w:val="32"/>
          <w:szCs w:val="32"/>
          <w:lang w:val="en-US" w:eastAsia="zh-CN"/>
        </w:rPr>
      </w:pPr>
      <w:r>
        <w:rPr>
          <w:rFonts w:hint="eastAsia" w:ascii="方正楷体简体" w:hAnsi="方正楷体简体" w:eastAsia="方正楷体简体" w:cs="方正楷体简体"/>
          <w:b w:val="0"/>
          <w:sz w:val="32"/>
          <w:szCs w:val="32"/>
          <w:lang w:val="en-US" w:eastAsia="zh-CN"/>
        </w:rPr>
        <w:t>经自治区人民政府同意，现将《</w:t>
      </w:r>
      <w:r>
        <w:rPr>
          <w:rFonts w:hint="eastAsia" w:ascii="方正楷体简体" w:hAnsi="方正楷体简体" w:eastAsia="方正楷体简体" w:cs="方正楷体简体"/>
          <w:b w:val="0"/>
          <w:sz w:val="32"/>
          <w:szCs w:val="32"/>
          <w:lang w:eastAsia="zh-CN"/>
        </w:rPr>
        <w:t>内蒙古自治区水土保持目标责任考核办法</w:t>
      </w:r>
      <w:r>
        <w:rPr>
          <w:rFonts w:hint="eastAsia" w:ascii="方正楷体简体" w:hAnsi="方正楷体简体" w:eastAsia="方正楷体简体" w:cs="方正楷体简体"/>
          <w:b w:val="0"/>
          <w:sz w:val="32"/>
          <w:szCs w:val="32"/>
          <w:lang w:val="en-US" w:eastAsia="zh-CN"/>
        </w:rPr>
        <w:t>》印发给你们，请结合实际，认真贯彻执行。</w:t>
      </w:r>
    </w:p>
    <w:p>
      <w:pPr>
        <w:pStyle w:val="11"/>
        <w:keepNext w:val="0"/>
        <w:keepLines w:val="0"/>
        <w:pageBreakBefore w:val="0"/>
        <w:kinsoku/>
        <w:wordWrap/>
        <w:overflowPunct/>
        <w:topLinePunct w:val="0"/>
        <w:autoSpaceDE/>
        <w:autoSpaceDN/>
        <w:bidi w:val="0"/>
        <w:adjustRightInd/>
        <w:snapToGrid/>
        <w:spacing w:line="580" w:lineRule="exact"/>
        <w:ind w:firstLine="640"/>
        <w:jc w:val="both"/>
        <w:textAlignment w:val="auto"/>
        <w:rPr>
          <w:rFonts w:hint="eastAsia" w:ascii="方正楷体简体" w:hAnsi="方正楷体简体" w:eastAsia="方正楷体简体" w:cs="方正楷体简体"/>
          <w:b w:val="0"/>
          <w:sz w:val="32"/>
          <w:szCs w:val="32"/>
          <w:lang w:val="en-US" w:eastAsia="zh-CN"/>
        </w:rPr>
      </w:pPr>
      <w:bookmarkStart w:id="0" w:name="_GoBack"/>
      <w:bookmarkEnd w:id="0"/>
    </w:p>
    <w:p>
      <w:pPr>
        <w:pStyle w:val="11"/>
        <w:keepNext w:val="0"/>
        <w:keepLines w:val="0"/>
        <w:pageBreakBefore w:val="0"/>
        <w:kinsoku/>
        <w:wordWrap/>
        <w:overflowPunct/>
        <w:topLinePunct w:val="0"/>
        <w:autoSpaceDE/>
        <w:autoSpaceDN/>
        <w:bidi w:val="0"/>
        <w:adjustRightInd/>
        <w:snapToGrid/>
        <w:spacing w:line="580" w:lineRule="exact"/>
        <w:ind w:firstLine="640"/>
        <w:jc w:val="both"/>
        <w:textAlignment w:val="auto"/>
        <w:rPr>
          <w:rFonts w:hint="eastAsia" w:ascii="方正楷体简体" w:hAnsi="方正楷体简体" w:eastAsia="方正楷体简体" w:cs="方正楷体简体"/>
          <w:b w:val="0"/>
          <w:sz w:val="32"/>
          <w:szCs w:val="32"/>
          <w:lang w:val="en-US" w:eastAsia="zh-CN"/>
        </w:rPr>
      </w:pPr>
    </w:p>
    <w:p>
      <w:pPr>
        <w:pStyle w:val="11"/>
        <w:keepNext w:val="0"/>
        <w:keepLines w:val="0"/>
        <w:pageBreakBefore w:val="0"/>
        <w:kinsoku/>
        <w:wordWrap/>
        <w:overflowPunct/>
        <w:topLinePunct w:val="0"/>
        <w:autoSpaceDE/>
        <w:autoSpaceDN/>
        <w:bidi w:val="0"/>
        <w:adjustRightInd/>
        <w:snapToGrid/>
        <w:spacing w:line="580" w:lineRule="exact"/>
        <w:ind w:firstLine="640"/>
        <w:jc w:val="both"/>
        <w:textAlignment w:val="auto"/>
        <w:rPr>
          <w:rFonts w:hint="eastAsia" w:ascii="方正楷体简体" w:hAnsi="方正楷体简体" w:eastAsia="方正楷体简体" w:cs="方正楷体简体"/>
          <w:b w:val="0"/>
          <w:sz w:val="32"/>
          <w:szCs w:val="32"/>
          <w:lang w:val="en-US" w:eastAsia="zh-CN"/>
        </w:rPr>
      </w:pPr>
    </w:p>
    <w:p>
      <w:pPr>
        <w:pStyle w:val="11"/>
        <w:keepNext w:val="0"/>
        <w:keepLines w:val="0"/>
        <w:pageBreakBefore w:val="0"/>
        <w:kinsoku/>
        <w:wordWrap/>
        <w:overflowPunct/>
        <w:topLinePunct w:val="0"/>
        <w:autoSpaceDE/>
        <w:autoSpaceDN/>
        <w:bidi w:val="0"/>
        <w:adjustRightInd/>
        <w:snapToGrid/>
        <w:spacing w:line="580" w:lineRule="exact"/>
        <w:ind w:firstLine="640"/>
        <w:jc w:val="both"/>
        <w:textAlignment w:val="auto"/>
        <w:rPr>
          <w:rFonts w:hint="eastAsia" w:ascii="方正楷体简体" w:hAnsi="方正楷体简体" w:eastAsia="方正楷体简体" w:cs="方正楷体简体"/>
          <w:b w:val="0"/>
          <w:sz w:val="32"/>
          <w:szCs w:val="32"/>
          <w:lang w:val="en-US" w:eastAsia="zh-CN"/>
        </w:rPr>
      </w:pPr>
      <w:r>
        <w:rPr>
          <w:rFonts w:hint="eastAsia" w:ascii="方正楷体简体" w:hAnsi="方正楷体简体" w:eastAsia="方正楷体简体" w:cs="方正楷体简体"/>
          <w:b w:val="0"/>
          <w:sz w:val="32"/>
          <w:szCs w:val="32"/>
          <w:lang w:val="en-US" w:eastAsia="zh-CN"/>
        </w:rPr>
        <w:t xml:space="preserve">                            2022年1月17日</w:t>
      </w:r>
    </w:p>
    <w:p>
      <w:pPr>
        <w:pStyle w:val="11"/>
        <w:keepNext w:val="0"/>
        <w:keepLines w:val="0"/>
        <w:pageBreakBefore w:val="0"/>
        <w:kinsoku/>
        <w:wordWrap/>
        <w:overflowPunct/>
        <w:topLinePunct w:val="0"/>
        <w:autoSpaceDE/>
        <w:autoSpaceDN/>
        <w:bidi w:val="0"/>
        <w:adjustRightInd/>
        <w:snapToGrid/>
        <w:spacing w:line="580" w:lineRule="exact"/>
        <w:ind w:firstLine="640"/>
        <w:jc w:val="both"/>
        <w:textAlignment w:val="auto"/>
        <w:rPr>
          <w:rFonts w:hint="eastAsia" w:ascii="方正楷体简体" w:hAnsi="方正楷体简体" w:eastAsia="方正楷体简体" w:cs="方正楷体简体"/>
          <w:b w:val="0"/>
          <w:sz w:val="32"/>
          <w:szCs w:val="32"/>
          <w:lang w:val="en-US" w:eastAsia="zh-CN"/>
        </w:rPr>
      </w:pPr>
      <w:r>
        <w:rPr>
          <w:rFonts w:hint="eastAsia" w:ascii="方正楷体简体" w:hAnsi="方正楷体简体" w:eastAsia="方正楷体简体" w:cs="方正楷体简体"/>
          <w:b w:val="0"/>
          <w:sz w:val="32"/>
          <w:szCs w:val="32"/>
          <w:lang w:val="en-US" w:eastAsia="zh-CN"/>
        </w:rPr>
        <w:t>（此件公开发布）</w:t>
      </w:r>
    </w:p>
    <w:p>
      <w:pPr>
        <w:pStyle w:val="11"/>
        <w:keepNext w:val="0"/>
        <w:keepLines w:val="0"/>
        <w:pageBreakBefore w:val="0"/>
        <w:kinsoku/>
        <w:wordWrap/>
        <w:overflowPunct/>
        <w:topLinePunct w:val="0"/>
        <w:autoSpaceDE/>
        <w:autoSpaceDN/>
        <w:bidi w:val="0"/>
        <w:adjustRightInd/>
        <w:snapToGrid/>
        <w:spacing w:line="580" w:lineRule="exact"/>
        <w:ind w:firstLine="640"/>
        <w:jc w:val="both"/>
        <w:textAlignment w:val="auto"/>
        <w:rPr>
          <w:rFonts w:hint="eastAsia" w:ascii="方正楷体简体" w:hAnsi="方正楷体简体" w:eastAsia="方正楷体简体" w:cs="方正楷体简体"/>
          <w:b w:val="0"/>
          <w:sz w:val="32"/>
          <w:szCs w:val="32"/>
          <w:lang w:val="en-US" w:eastAsia="zh-CN"/>
        </w:rPr>
      </w:pPr>
    </w:p>
    <w:p>
      <w:pPr>
        <w:pStyle w:val="11"/>
        <w:keepNext w:val="0"/>
        <w:keepLines w:val="0"/>
        <w:pageBreakBefore w:val="0"/>
        <w:kinsoku/>
        <w:wordWrap/>
        <w:overflowPunct/>
        <w:topLinePunct w:val="0"/>
        <w:autoSpaceDE/>
        <w:autoSpaceDN/>
        <w:bidi w:val="0"/>
        <w:adjustRightInd/>
        <w:snapToGrid/>
        <w:spacing w:line="580" w:lineRule="exact"/>
        <w:ind w:firstLine="640"/>
        <w:jc w:val="both"/>
        <w:textAlignment w:val="auto"/>
        <w:rPr>
          <w:rFonts w:hint="eastAsia" w:ascii="方正楷体简体" w:hAnsi="方正楷体简体" w:eastAsia="方正楷体简体" w:cs="方正楷体简体"/>
          <w:b w:val="0"/>
          <w:sz w:val="32"/>
          <w:szCs w:val="32"/>
          <w:lang w:val="en-US" w:eastAsia="zh-CN"/>
        </w:rPr>
      </w:pPr>
    </w:p>
    <w:p>
      <w:pPr>
        <w:pStyle w:val="11"/>
        <w:keepNext w:val="0"/>
        <w:keepLines w:val="0"/>
        <w:pageBreakBefore w:val="0"/>
        <w:kinsoku/>
        <w:wordWrap/>
        <w:overflowPunct/>
        <w:topLinePunct w:val="0"/>
        <w:autoSpaceDE/>
        <w:autoSpaceDN/>
        <w:bidi w:val="0"/>
        <w:adjustRightInd/>
        <w:snapToGrid/>
        <w:spacing w:line="580" w:lineRule="exact"/>
        <w:ind w:firstLine="640"/>
        <w:jc w:val="both"/>
        <w:textAlignment w:val="auto"/>
        <w:rPr>
          <w:rFonts w:hint="eastAsia" w:ascii="方正楷体简体" w:hAnsi="方正楷体简体" w:eastAsia="方正楷体简体" w:cs="方正楷体简体"/>
          <w:b w:val="0"/>
          <w:sz w:val="32"/>
          <w:szCs w:val="32"/>
          <w:lang w:val="en-US" w:eastAsia="zh-CN"/>
        </w:rPr>
      </w:pPr>
    </w:p>
    <w:p>
      <w:pPr>
        <w:pStyle w:val="11"/>
        <w:keepNext w:val="0"/>
        <w:keepLines w:val="0"/>
        <w:pageBreakBefore w:val="0"/>
        <w:kinsoku/>
        <w:wordWrap/>
        <w:overflowPunct/>
        <w:topLinePunct w:val="0"/>
        <w:autoSpaceDE/>
        <w:autoSpaceDN/>
        <w:bidi w:val="0"/>
        <w:adjustRightInd/>
        <w:snapToGrid/>
        <w:spacing w:line="580" w:lineRule="exact"/>
        <w:ind w:firstLine="640"/>
        <w:jc w:val="both"/>
        <w:textAlignment w:val="auto"/>
        <w:rPr>
          <w:rFonts w:hint="eastAsia" w:ascii="方正楷体简体" w:hAnsi="方正楷体简体" w:eastAsia="方正楷体简体" w:cs="方正楷体简体"/>
          <w:b w:val="0"/>
          <w:sz w:val="32"/>
          <w:szCs w:val="32"/>
          <w:lang w:val="en-US" w:eastAsia="zh-CN"/>
        </w:rPr>
      </w:pPr>
    </w:p>
    <w:p>
      <w:pPr>
        <w:pStyle w:val="11"/>
        <w:keepNext w:val="0"/>
        <w:keepLines w:val="0"/>
        <w:pageBreakBefore w:val="0"/>
        <w:kinsoku/>
        <w:wordWrap/>
        <w:overflowPunct/>
        <w:topLinePunct w:val="0"/>
        <w:autoSpaceDE/>
        <w:autoSpaceDN/>
        <w:bidi w:val="0"/>
        <w:adjustRightInd/>
        <w:snapToGrid/>
        <w:spacing w:line="580" w:lineRule="exact"/>
        <w:ind w:firstLine="640"/>
        <w:jc w:val="both"/>
        <w:textAlignment w:val="auto"/>
        <w:rPr>
          <w:rFonts w:hint="eastAsia" w:ascii="方正楷体简体" w:hAnsi="方正楷体简体" w:eastAsia="方正楷体简体" w:cs="方正楷体简体"/>
          <w:b w:val="0"/>
          <w:sz w:val="32"/>
          <w:szCs w:val="32"/>
          <w:lang w:val="en-US" w:eastAsia="zh-CN"/>
        </w:rPr>
      </w:pPr>
    </w:p>
    <w:p>
      <w:pPr>
        <w:pStyle w:val="11"/>
        <w:keepNext w:val="0"/>
        <w:keepLines w:val="0"/>
        <w:pageBreakBefore w:val="0"/>
        <w:kinsoku/>
        <w:wordWrap/>
        <w:overflowPunct/>
        <w:topLinePunct w:val="0"/>
        <w:autoSpaceDE/>
        <w:autoSpaceDN/>
        <w:bidi w:val="0"/>
        <w:adjustRightInd/>
        <w:snapToGrid/>
        <w:spacing w:line="580" w:lineRule="exact"/>
        <w:ind w:firstLine="640"/>
        <w:jc w:val="both"/>
        <w:textAlignment w:val="auto"/>
        <w:rPr>
          <w:rFonts w:hint="eastAsia" w:ascii="方正楷体简体" w:hAnsi="方正楷体简体" w:eastAsia="方正楷体简体" w:cs="方正楷体简体"/>
          <w:b w:val="0"/>
          <w:sz w:val="32"/>
          <w:szCs w:val="32"/>
          <w:lang w:val="en-US" w:eastAsia="zh-CN"/>
        </w:rPr>
      </w:pPr>
    </w:p>
    <w:p>
      <w:pPr>
        <w:pStyle w:val="11"/>
        <w:keepNext w:val="0"/>
        <w:keepLines w:val="0"/>
        <w:pageBreakBefore w:val="0"/>
        <w:kinsoku/>
        <w:wordWrap/>
        <w:overflowPunct/>
        <w:topLinePunct w:val="0"/>
        <w:autoSpaceDE/>
        <w:autoSpaceDN/>
        <w:bidi w:val="0"/>
        <w:adjustRightInd/>
        <w:snapToGrid/>
        <w:spacing w:line="580" w:lineRule="exact"/>
        <w:ind w:firstLine="640"/>
        <w:jc w:val="both"/>
        <w:textAlignment w:val="auto"/>
        <w:rPr>
          <w:rFonts w:hint="eastAsia" w:ascii="方正楷体简体" w:hAnsi="方正楷体简体" w:eastAsia="方正楷体简体" w:cs="方正楷体简体"/>
          <w:b w:val="0"/>
          <w:sz w:val="32"/>
          <w:szCs w:val="32"/>
          <w:lang w:val="en-US" w:eastAsia="zh-CN"/>
        </w:rPr>
      </w:pPr>
    </w:p>
    <w:p>
      <w:pPr>
        <w:pStyle w:val="11"/>
        <w:keepNext w:val="0"/>
        <w:keepLines w:val="0"/>
        <w:pageBreakBefore w:val="0"/>
        <w:kinsoku/>
        <w:wordWrap/>
        <w:overflowPunct/>
        <w:topLinePunct w:val="0"/>
        <w:autoSpaceDE/>
        <w:autoSpaceDN/>
        <w:bidi w:val="0"/>
        <w:adjustRightInd/>
        <w:snapToGrid/>
        <w:spacing w:line="580" w:lineRule="exact"/>
        <w:ind w:firstLine="640"/>
        <w:jc w:val="both"/>
        <w:textAlignment w:val="auto"/>
        <w:rPr>
          <w:rFonts w:hint="default" w:ascii="方正楷体简体" w:hAnsi="方正楷体简体" w:eastAsia="方正楷体简体" w:cs="方正楷体简体"/>
          <w:b w:val="0"/>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内蒙古自治区水土保持目标责任考核办法</w:t>
      </w:r>
    </w:p>
    <w:p>
      <w:pPr>
        <w:keepNext w:val="0"/>
        <w:keepLines w:val="0"/>
        <w:pageBreakBefore w:val="0"/>
        <w:kinsoku/>
        <w:wordWrap/>
        <w:overflowPunct/>
        <w:topLinePunct w:val="0"/>
        <w:autoSpaceDE/>
        <w:autoSpaceDN/>
        <w:bidi w:val="0"/>
        <w:adjustRightInd/>
        <w:snapToGrid/>
        <w:spacing w:line="580" w:lineRule="exact"/>
        <w:ind w:firstLine="560"/>
        <w:jc w:val="both"/>
        <w:textAlignment w:val="auto"/>
        <w:rPr>
          <w:rFonts w:hint="eastAsia"/>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方正黑体_GBK" w:hAnsi="方正黑体_GBK" w:eastAsia="方正黑体_GBK" w:cs="方正黑体_GBK"/>
          <w:b w:val="0"/>
          <w:bCs w:val="0"/>
          <w:sz w:val="32"/>
          <w:szCs w:val="32"/>
        </w:rPr>
        <w:t>第一条</w:t>
      </w:r>
      <w:r>
        <w:rPr>
          <w:rFonts w:hint="eastAsia" w:ascii="仿宋_GB2312" w:eastAsia="仿宋_GB2312"/>
          <w:sz w:val="32"/>
          <w:szCs w:val="32"/>
        </w:rPr>
        <w:t xml:space="preserve"> 为贯彻落实习近平生态文明思想，进一步压实地方各级人民政府水土保持目标责任制，筑牢</w:t>
      </w:r>
      <w:r>
        <w:rPr>
          <w:rFonts w:hint="eastAsia" w:ascii="仿宋_GB2312" w:eastAsia="仿宋_GB2312"/>
          <w:sz w:val="32"/>
          <w:szCs w:val="32"/>
          <w:lang w:eastAsia="zh-CN"/>
        </w:rPr>
        <w:t>我</w:t>
      </w:r>
      <w:r>
        <w:rPr>
          <w:rFonts w:hint="eastAsia" w:ascii="仿宋_GB2312" w:eastAsia="仿宋_GB2312"/>
          <w:sz w:val="32"/>
          <w:szCs w:val="32"/>
        </w:rPr>
        <w:t>国北方重要生态安全屏障，根据《中华人民共和国水土保持法》《内蒙古自治区水土保持条例》《水利部关于加快推进水土保持目标责任考核的指导意见》（水保〔2017〕108号）等有关</w:t>
      </w:r>
      <w:r>
        <w:rPr>
          <w:rFonts w:hint="eastAsia" w:ascii="仿宋_GB2312" w:eastAsia="仿宋_GB2312"/>
          <w:sz w:val="32"/>
          <w:szCs w:val="32"/>
          <w:lang w:eastAsia="zh-CN"/>
        </w:rPr>
        <w:t>要求</w:t>
      </w:r>
      <w:r>
        <w:rPr>
          <w:rFonts w:hint="eastAsia" w:ascii="仿宋_GB2312" w:eastAsia="仿宋_GB2312"/>
          <w:sz w:val="32"/>
          <w:szCs w:val="32"/>
        </w:rPr>
        <w:t>，结合自治区实际，制定本办法。</w:t>
      </w:r>
    </w:p>
    <w:p>
      <w:pPr>
        <w:keepNext w:val="0"/>
        <w:keepLines w:val="0"/>
        <w:pageBreakBefore w:val="0"/>
        <w:kinsoku/>
        <w:wordWrap/>
        <w:overflowPunct/>
        <w:topLinePunct w:val="0"/>
        <w:autoSpaceDE/>
        <w:autoSpaceDN/>
        <w:bidi w:val="0"/>
        <w:adjustRightInd/>
        <w:snapToGrid/>
        <w:spacing w:line="580" w:lineRule="exact"/>
        <w:ind w:firstLine="560"/>
        <w:textAlignment w:val="auto"/>
        <w:rPr>
          <w:rFonts w:ascii="仿宋_GB2312" w:eastAsia="仿宋_GB2312"/>
          <w:sz w:val="32"/>
          <w:szCs w:val="32"/>
        </w:rPr>
      </w:pPr>
      <w:r>
        <w:rPr>
          <w:rFonts w:hint="eastAsia" w:ascii="方正黑体_GBK" w:hAnsi="方正黑体_GBK" w:eastAsia="方正黑体_GBK" w:cs="方正黑体_GBK"/>
          <w:b w:val="0"/>
          <w:bCs w:val="0"/>
          <w:sz w:val="32"/>
          <w:szCs w:val="32"/>
        </w:rPr>
        <w:t xml:space="preserve">第二条 </w:t>
      </w:r>
      <w:r>
        <w:rPr>
          <w:rFonts w:hint="eastAsia" w:ascii="仿宋_GB2312" w:eastAsia="仿宋_GB2312"/>
          <w:sz w:val="32"/>
          <w:szCs w:val="32"/>
        </w:rPr>
        <w:t>自治区人民政府对各盟行政公署、市人民政府水土保持目标责任落实情况进行考核。</w:t>
      </w:r>
    </w:p>
    <w:p>
      <w:pPr>
        <w:keepNext w:val="0"/>
        <w:keepLines w:val="0"/>
        <w:pageBreakBefore w:val="0"/>
        <w:kinsoku/>
        <w:wordWrap/>
        <w:overflowPunct/>
        <w:topLinePunct w:val="0"/>
        <w:autoSpaceDE/>
        <w:autoSpaceDN/>
        <w:bidi w:val="0"/>
        <w:adjustRightInd/>
        <w:snapToGrid/>
        <w:spacing w:line="580" w:lineRule="exact"/>
        <w:ind w:firstLine="560"/>
        <w:textAlignment w:val="auto"/>
        <w:rPr>
          <w:rFonts w:hint="eastAsia" w:ascii="仿宋_GB2312" w:eastAsia="仿宋_GB2312"/>
          <w:sz w:val="32"/>
          <w:szCs w:val="32"/>
        </w:rPr>
      </w:pPr>
      <w:r>
        <w:rPr>
          <w:rFonts w:hint="eastAsia" w:ascii="方正黑体_GBK" w:hAnsi="方正黑体_GBK" w:eastAsia="方正黑体_GBK" w:cs="方正黑体_GBK"/>
          <w:b w:val="0"/>
          <w:bCs w:val="0"/>
          <w:sz w:val="32"/>
          <w:szCs w:val="32"/>
        </w:rPr>
        <w:t>第三条</w:t>
      </w:r>
      <w:r>
        <w:rPr>
          <w:rFonts w:hint="eastAsia" w:ascii="仿宋_GB2312" w:eastAsia="仿宋_GB2312"/>
          <w:sz w:val="32"/>
          <w:szCs w:val="32"/>
        </w:rPr>
        <w:t xml:space="preserve"> </w:t>
      </w:r>
      <w:r>
        <w:rPr>
          <w:rFonts w:hint="eastAsia" w:ascii="仿宋_GB2312" w:eastAsia="仿宋_GB2312"/>
          <w:spacing w:val="-6"/>
          <w:sz w:val="32"/>
          <w:szCs w:val="32"/>
        </w:rPr>
        <w:t>各盟行政公署、市人民政府</w:t>
      </w:r>
      <w:r>
        <w:rPr>
          <w:rFonts w:ascii="仿宋_GB2312" w:eastAsia="仿宋_GB2312"/>
          <w:spacing w:val="-6"/>
          <w:sz w:val="32"/>
          <w:szCs w:val="32"/>
        </w:rPr>
        <w:t>是落实水土保持目标责任</w:t>
      </w:r>
      <w:r>
        <w:rPr>
          <w:rFonts w:hint="eastAsia" w:ascii="仿宋_GB2312" w:eastAsia="仿宋_GB2312"/>
          <w:spacing w:val="-6"/>
          <w:sz w:val="32"/>
          <w:szCs w:val="32"/>
        </w:rPr>
        <w:t>制度</w:t>
      </w:r>
      <w:r>
        <w:rPr>
          <w:rFonts w:ascii="仿宋_GB2312" w:eastAsia="仿宋_GB2312"/>
          <w:spacing w:val="-6"/>
          <w:sz w:val="32"/>
          <w:szCs w:val="32"/>
        </w:rPr>
        <w:t>的责任主体</w:t>
      </w:r>
      <w:r>
        <w:rPr>
          <w:rFonts w:hint="eastAsia" w:ascii="仿宋_GB2312" w:eastAsia="仿宋_GB2312"/>
          <w:spacing w:val="-6"/>
          <w:sz w:val="32"/>
          <w:szCs w:val="32"/>
        </w:rPr>
        <w:t>，对</w:t>
      </w:r>
      <w:r>
        <w:rPr>
          <w:rFonts w:ascii="仿宋_GB2312" w:eastAsia="仿宋_GB2312"/>
          <w:spacing w:val="-6"/>
          <w:sz w:val="32"/>
          <w:szCs w:val="32"/>
        </w:rPr>
        <w:t>本行政区域落实水土保持目标责任</w:t>
      </w:r>
      <w:r>
        <w:rPr>
          <w:rFonts w:hint="eastAsia" w:ascii="仿宋_GB2312" w:eastAsia="仿宋_GB2312"/>
          <w:spacing w:val="-6"/>
          <w:sz w:val="32"/>
          <w:szCs w:val="32"/>
        </w:rPr>
        <w:t>工作负总责。</w:t>
      </w:r>
    </w:p>
    <w:p>
      <w:pPr>
        <w:keepNext w:val="0"/>
        <w:keepLines w:val="0"/>
        <w:pageBreakBefore w:val="0"/>
        <w:kinsoku/>
        <w:wordWrap/>
        <w:overflowPunct/>
        <w:topLinePunct w:val="0"/>
        <w:autoSpaceDE/>
        <w:autoSpaceDN/>
        <w:bidi w:val="0"/>
        <w:adjustRightInd/>
        <w:snapToGrid/>
        <w:spacing w:line="580" w:lineRule="exact"/>
        <w:ind w:firstLine="560"/>
        <w:textAlignment w:val="auto"/>
        <w:rPr>
          <w:rFonts w:ascii="仿宋_GB2312" w:eastAsia="仿宋_GB2312"/>
          <w:color w:val="auto"/>
          <w:sz w:val="32"/>
          <w:szCs w:val="32"/>
        </w:rPr>
      </w:pPr>
      <w:r>
        <w:rPr>
          <w:rFonts w:hint="eastAsia" w:ascii="方正黑体_GBK" w:hAnsi="方正黑体_GBK" w:eastAsia="方正黑体_GBK" w:cs="方正黑体_GBK"/>
          <w:b w:val="0"/>
          <w:bCs w:val="0"/>
          <w:sz w:val="32"/>
          <w:szCs w:val="32"/>
        </w:rPr>
        <w:t xml:space="preserve">第四条 </w:t>
      </w:r>
      <w:r>
        <w:rPr>
          <w:rFonts w:hint="eastAsia" w:ascii="仿宋_GB2312" w:eastAsia="仿宋_GB2312"/>
          <w:sz w:val="32"/>
          <w:szCs w:val="32"/>
        </w:rPr>
        <w:t>考核坚持政府主导、部门协作、突出重点、客观公正、科学</w:t>
      </w:r>
      <w:r>
        <w:rPr>
          <w:rFonts w:hint="eastAsia" w:ascii="仿宋_GB2312" w:eastAsia="仿宋_GB2312"/>
          <w:color w:val="auto"/>
          <w:sz w:val="32"/>
          <w:szCs w:val="32"/>
        </w:rPr>
        <w:t>合理、</w:t>
      </w:r>
      <w:r>
        <w:rPr>
          <w:rFonts w:hint="eastAsia" w:ascii="仿宋_GB2312" w:eastAsia="仿宋_GB2312"/>
          <w:color w:val="auto"/>
          <w:sz w:val="32"/>
          <w:szCs w:val="32"/>
          <w:lang w:eastAsia="zh-CN"/>
        </w:rPr>
        <w:t>因地制宜、</w:t>
      </w:r>
      <w:r>
        <w:rPr>
          <w:rFonts w:hint="eastAsia" w:ascii="仿宋_GB2312" w:eastAsia="仿宋_GB2312"/>
          <w:color w:val="auto"/>
          <w:sz w:val="32"/>
          <w:szCs w:val="32"/>
        </w:rPr>
        <w:t>注重实效的原则。</w:t>
      </w:r>
    </w:p>
    <w:p>
      <w:pPr>
        <w:keepNext w:val="0"/>
        <w:keepLines w:val="0"/>
        <w:pageBreakBefore w:val="0"/>
        <w:kinsoku/>
        <w:wordWrap/>
        <w:overflowPunct/>
        <w:topLinePunct w:val="0"/>
        <w:autoSpaceDE/>
        <w:autoSpaceDN/>
        <w:bidi w:val="0"/>
        <w:adjustRightInd/>
        <w:snapToGrid/>
        <w:spacing w:line="580" w:lineRule="exact"/>
        <w:ind w:firstLine="560"/>
        <w:textAlignment w:val="auto"/>
        <w:rPr>
          <w:rFonts w:ascii="仿宋_GB2312" w:eastAsia="仿宋_GB2312"/>
          <w:sz w:val="32"/>
          <w:szCs w:val="32"/>
        </w:rPr>
      </w:pPr>
      <w:r>
        <w:rPr>
          <w:rFonts w:hint="eastAsia" w:ascii="方正黑体_GBK" w:hAnsi="方正黑体_GBK" w:eastAsia="方正黑体_GBK" w:cs="方正黑体_GBK"/>
          <w:b w:val="0"/>
          <w:bCs w:val="0"/>
          <w:sz w:val="32"/>
          <w:szCs w:val="32"/>
        </w:rPr>
        <w:t xml:space="preserve">第五条 </w:t>
      </w:r>
      <w:r>
        <w:rPr>
          <w:rFonts w:hint="eastAsia" w:ascii="仿宋_GB2312" w:eastAsia="仿宋_GB2312"/>
          <w:color w:val="auto"/>
          <w:sz w:val="32"/>
          <w:szCs w:val="32"/>
        </w:rPr>
        <w:t>考核工作在自治区人民政府领导</w:t>
      </w:r>
      <w:r>
        <w:rPr>
          <w:rFonts w:hint="eastAsia" w:ascii="仿宋_GB2312" w:eastAsia="仿宋_GB2312"/>
          <w:sz w:val="32"/>
          <w:szCs w:val="32"/>
        </w:rPr>
        <w:t>下，由自治区水利厅牵头，会同自治区</w:t>
      </w:r>
      <w:r>
        <w:rPr>
          <w:rFonts w:hint="eastAsia" w:ascii="仿宋_GB2312" w:eastAsia="仿宋_GB2312"/>
          <w:sz w:val="32"/>
          <w:szCs w:val="32"/>
          <w:lang w:eastAsia="zh-CN"/>
        </w:rPr>
        <w:t>发展改革</w:t>
      </w:r>
      <w:r>
        <w:rPr>
          <w:rFonts w:hint="eastAsia" w:ascii="仿宋_GB2312" w:eastAsia="仿宋_GB2312"/>
          <w:sz w:val="32"/>
          <w:szCs w:val="32"/>
        </w:rPr>
        <w:t>委、财政厅、自然资源厅</w:t>
      </w:r>
      <w:r>
        <w:rPr>
          <w:rFonts w:hint="eastAsia" w:ascii="仿宋_GB2312" w:eastAsia="仿宋_GB2312"/>
          <w:sz w:val="32"/>
          <w:szCs w:val="32"/>
          <w:lang w:eastAsia="zh-CN"/>
        </w:rPr>
        <w:t>、</w:t>
      </w:r>
      <w:r>
        <w:rPr>
          <w:rFonts w:hint="eastAsia" w:ascii="仿宋_GB2312" w:eastAsia="仿宋_GB2312"/>
          <w:sz w:val="32"/>
          <w:szCs w:val="32"/>
        </w:rPr>
        <w:t>生态环境厅</w:t>
      </w:r>
      <w:r>
        <w:rPr>
          <w:rFonts w:hint="eastAsia" w:ascii="仿宋_GB2312" w:eastAsia="仿宋_GB2312"/>
          <w:sz w:val="32"/>
          <w:szCs w:val="32"/>
          <w:lang w:eastAsia="zh-CN"/>
        </w:rPr>
        <w:t>、</w:t>
      </w:r>
      <w:r>
        <w:rPr>
          <w:rFonts w:hint="eastAsia" w:ascii="仿宋_GB2312" w:eastAsia="仿宋_GB2312"/>
          <w:sz w:val="32"/>
          <w:szCs w:val="32"/>
        </w:rPr>
        <w:t>农牧厅</w:t>
      </w:r>
      <w:r>
        <w:rPr>
          <w:rFonts w:hint="eastAsia" w:ascii="仿宋_GB2312" w:eastAsia="仿宋_GB2312"/>
          <w:sz w:val="32"/>
          <w:szCs w:val="32"/>
          <w:lang w:eastAsia="zh-CN"/>
        </w:rPr>
        <w:t>、</w:t>
      </w:r>
      <w:r>
        <w:rPr>
          <w:rFonts w:hint="eastAsia" w:ascii="仿宋_GB2312" w:eastAsia="仿宋_GB2312"/>
          <w:sz w:val="32"/>
          <w:szCs w:val="32"/>
        </w:rPr>
        <w:t>林草局组成考核工作组，负责具体组织实施。</w:t>
      </w:r>
    </w:p>
    <w:p>
      <w:pPr>
        <w:keepNext w:val="0"/>
        <w:keepLines w:val="0"/>
        <w:pageBreakBefore w:val="0"/>
        <w:kinsoku/>
        <w:wordWrap/>
        <w:overflowPunct/>
        <w:topLinePunct w:val="0"/>
        <w:autoSpaceDE/>
        <w:autoSpaceDN/>
        <w:bidi w:val="0"/>
        <w:adjustRightInd/>
        <w:snapToGrid/>
        <w:spacing w:line="580" w:lineRule="exact"/>
        <w:ind w:firstLine="560"/>
        <w:textAlignment w:val="auto"/>
        <w:rPr>
          <w:rFonts w:hint="eastAsia" w:ascii="仿宋_GB2312" w:eastAsia="仿宋_GB2312"/>
          <w:sz w:val="32"/>
          <w:szCs w:val="32"/>
        </w:rPr>
      </w:pPr>
      <w:r>
        <w:rPr>
          <w:rFonts w:hint="eastAsia" w:ascii="方正黑体_GBK" w:hAnsi="方正黑体_GBK" w:eastAsia="方正黑体_GBK" w:cs="方正黑体_GBK"/>
          <w:b w:val="0"/>
          <w:bCs w:val="0"/>
          <w:sz w:val="32"/>
          <w:szCs w:val="32"/>
        </w:rPr>
        <w:t>第六条</w:t>
      </w:r>
      <w:r>
        <w:rPr>
          <w:rFonts w:hint="eastAsia" w:ascii="仿宋_GB2312" w:eastAsia="仿宋_GB2312"/>
          <w:sz w:val="32"/>
          <w:szCs w:val="32"/>
        </w:rPr>
        <w:t xml:space="preserve"> 考核内容包括组织领导、总体目标任务、综合治理、预防监管、监测和信息化5方面（</w:t>
      </w:r>
      <w:r>
        <w:rPr>
          <w:rFonts w:hint="eastAsia" w:ascii="仿宋_GB2312" w:eastAsia="仿宋_GB2312"/>
          <w:sz w:val="32"/>
          <w:szCs w:val="32"/>
          <w:lang w:eastAsia="zh-CN"/>
        </w:rPr>
        <w:t>具体</w:t>
      </w:r>
      <w:r>
        <w:rPr>
          <w:rFonts w:hint="eastAsia" w:ascii="仿宋_GB2312" w:eastAsia="仿宋_GB2312"/>
          <w:sz w:val="32"/>
          <w:szCs w:val="32"/>
        </w:rPr>
        <w:t>考核内容与评分标准见附件）。组织领导主要考核水土保持目标责任制度落实、工作机制建立、投入保障、宣传示范等情况。总体目标任务主要考核水土保持率</w:t>
      </w:r>
      <w:r>
        <w:rPr>
          <w:rFonts w:ascii="仿宋_GB2312" w:eastAsia="仿宋_GB2312"/>
          <w:sz w:val="32"/>
          <w:szCs w:val="32"/>
        </w:rPr>
        <w:t>变化情况</w:t>
      </w:r>
      <w:r>
        <w:rPr>
          <w:rFonts w:hint="eastAsia" w:ascii="仿宋_GB2312" w:eastAsia="仿宋_GB2312"/>
          <w:sz w:val="32"/>
          <w:szCs w:val="32"/>
        </w:rPr>
        <w:t>。综合治理主要考核</w:t>
      </w:r>
      <w:r>
        <w:rPr>
          <w:rFonts w:ascii="仿宋_GB2312" w:eastAsia="仿宋_GB2312"/>
          <w:sz w:val="32"/>
          <w:szCs w:val="32"/>
        </w:rPr>
        <w:t>水土流失治理目标完成</w:t>
      </w:r>
      <w:r>
        <w:rPr>
          <w:rFonts w:hint="eastAsia" w:ascii="仿宋_GB2312" w:eastAsia="仿宋_GB2312"/>
          <w:sz w:val="32"/>
          <w:szCs w:val="32"/>
        </w:rPr>
        <w:t>情况、水土保持重点工程</w:t>
      </w:r>
      <w:r>
        <w:rPr>
          <w:rFonts w:ascii="仿宋_GB2312" w:eastAsia="仿宋_GB2312"/>
          <w:sz w:val="32"/>
          <w:szCs w:val="32"/>
        </w:rPr>
        <w:t>实施</w:t>
      </w:r>
      <w:r>
        <w:rPr>
          <w:rFonts w:hint="eastAsia" w:ascii="仿宋_GB2312" w:eastAsia="仿宋_GB2312"/>
          <w:sz w:val="32"/>
          <w:szCs w:val="32"/>
        </w:rPr>
        <w:t>情况和</w:t>
      </w:r>
      <w:r>
        <w:rPr>
          <w:rFonts w:ascii="仿宋_GB2312" w:eastAsia="仿宋_GB2312"/>
          <w:sz w:val="32"/>
          <w:szCs w:val="32"/>
        </w:rPr>
        <w:t>质量效益情况</w:t>
      </w:r>
      <w:r>
        <w:rPr>
          <w:rFonts w:hint="eastAsia" w:ascii="仿宋_GB2312" w:eastAsia="仿宋_GB2312"/>
          <w:sz w:val="32"/>
          <w:szCs w:val="32"/>
        </w:rPr>
        <w:t>。预防监管主要考核</w:t>
      </w:r>
      <w:r>
        <w:rPr>
          <w:rFonts w:ascii="仿宋_GB2312" w:eastAsia="仿宋_GB2312"/>
          <w:sz w:val="32"/>
          <w:szCs w:val="32"/>
        </w:rPr>
        <w:t>生产建设项目</w:t>
      </w:r>
      <w:r>
        <w:rPr>
          <w:rFonts w:hint="eastAsia" w:ascii="仿宋_GB2312" w:eastAsia="仿宋_GB2312"/>
          <w:sz w:val="32"/>
          <w:szCs w:val="32"/>
        </w:rPr>
        <w:t>水土保持监督管理</w:t>
      </w:r>
      <w:r>
        <w:rPr>
          <w:rFonts w:ascii="仿宋_GB2312" w:eastAsia="仿宋_GB2312"/>
          <w:sz w:val="32"/>
          <w:szCs w:val="32"/>
        </w:rPr>
        <w:t>情况</w:t>
      </w:r>
      <w:r>
        <w:rPr>
          <w:rFonts w:hint="eastAsia" w:ascii="仿宋_GB2312" w:eastAsia="仿宋_GB2312"/>
          <w:sz w:val="32"/>
          <w:szCs w:val="32"/>
        </w:rPr>
        <w:t>。</w:t>
      </w:r>
      <w:r>
        <w:rPr>
          <w:rFonts w:ascii="仿宋_GB2312" w:eastAsia="仿宋_GB2312"/>
          <w:sz w:val="32"/>
          <w:szCs w:val="32"/>
        </w:rPr>
        <w:t>监测和信息化</w:t>
      </w:r>
      <w:r>
        <w:rPr>
          <w:rFonts w:hint="eastAsia" w:ascii="仿宋_GB2312" w:eastAsia="仿宋_GB2312"/>
          <w:sz w:val="32"/>
          <w:szCs w:val="32"/>
        </w:rPr>
        <w:t>主要考核水土保持监测和信息化</w:t>
      </w:r>
      <w:r>
        <w:rPr>
          <w:rFonts w:ascii="仿宋_GB2312" w:eastAsia="仿宋_GB2312"/>
          <w:sz w:val="32"/>
          <w:szCs w:val="32"/>
        </w:rPr>
        <w:t>应用情况</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560"/>
        <w:textAlignment w:val="auto"/>
        <w:rPr>
          <w:rFonts w:ascii="仿宋_GB2312" w:eastAsia="仿宋_GB2312"/>
          <w:sz w:val="32"/>
          <w:szCs w:val="32"/>
        </w:rPr>
      </w:pPr>
      <w:r>
        <w:rPr>
          <w:rFonts w:hint="eastAsia" w:ascii="方正黑体_GBK" w:hAnsi="方正黑体_GBK" w:eastAsia="方正黑体_GBK" w:cs="方正黑体_GBK"/>
          <w:b w:val="0"/>
          <w:bCs w:val="0"/>
          <w:sz w:val="32"/>
          <w:szCs w:val="32"/>
        </w:rPr>
        <w:t xml:space="preserve">第七条 </w:t>
      </w:r>
      <w:r>
        <w:rPr>
          <w:rFonts w:hint="eastAsia" w:ascii="仿宋_GB2312" w:eastAsia="仿宋_GB2312"/>
          <w:sz w:val="32"/>
          <w:szCs w:val="32"/>
        </w:rPr>
        <w:t>考核采用评分制，满分100分。考核结果分为4个等级，分别为优秀（90分及以上）、良好(80—90分,不含90分)、合格(60—80分,不含80分)、不合格(60分以下,不含60分)。</w:t>
      </w:r>
    </w:p>
    <w:p>
      <w:pPr>
        <w:keepNext w:val="0"/>
        <w:keepLines w:val="0"/>
        <w:pageBreakBefore w:val="0"/>
        <w:kinsoku/>
        <w:wordWrap/>
        <w:overflowPunct/>
        <w:topLinePunct w:val="0"/>
        <w:autoSpaceDE/>
        <w:autoSpaceDN/>
        <w:bidi w:val="0"/>
        <w:adjustRightInd/>
        <w:snapToGrid/>
        <w:spacing w:line="580" w:lineRule="exact"/>
        <w:ind w:firstLine="560"/>
        <w:textAlignment w:val="auto"/>
        <w:rPr>
          <w:rFonts w:hint="eastAsia" w:ascii="仿宋_GB2312" w:eastAsia="仿宋_GB2312"/>
          <w:sz w:val="32"/>
          <w:szCs w:val="32"/>
        </w:rPr>
      </w:pPr>
      <w:r>
        <w:rPr>
          <w:rFonts w:hint="eastAsia" w:ascii="方正黑体_GBK" w:hAnsi="方正黑体_GBK" w:eastAsia="方正黑体_GBK" w:cs="方正黑体_GBK"/>
          <w:b w:val="0"/>
          <w:bCs w:val="0"/>
          <w:sz w:val="32"/>
          <w:szCs w:val="32"/>
        </w:rPr>
        <w:t xml:space="preserve">第八条 </w:t>
      </w:r>
      <w:r>
        <w:rPr>
          <w:rFonts w:hint="eastAsia" w:ascii="仿宋_GB2312" w:eastAsia="仿宋_GB2312"/>
          <w:sz w:val="32"/>
          <w:szCs w:val="32"/>
        </w:rPr>
        <w:t>考核实行年度考核制。考核程序包括制定年度考核实施方案、盟市自评、自治区考评、考核结果反馈。</w:t>
      </w:r>
    </w:p>
    <w:p>
      <w:pPr>
        <w:keepNext w:val="0"/>
        <w:keepLines w:val="0"/>
        <w:pageBreakBefore w:val="0"/>
        <w:kinsoku/>
        <w:wordWrap/>
        <w:overflowPunct/>
        <w:topLinePunct w:val="0"/>
        <w:autoSpaceDE/>
        <w:autoSpaceDN/>
        <w:bidi w:val="0"/>
        <w:adjustRightInd/>
        <w:snapToGrid/>
        <w:spacing w:line="580" w:lineRule="exact"/>
        <w:ind w:firstLine="560"/>
        <w:textAlignment w:val="auto"/>
        <w:rPr>
          <w:rFonts w:hint="eastAsia" w:ascii="仿宋_GB2312" w:eastAsia="仿宋_GB2312"/>
          <w:sz w:val="32"/>
          <w:szCs w:val="32"/>
        </w:rPr>
      </w:pPr>
      <w:r>
        <w:rPr>
          <w:rFonts w:hint="eastAsia" w:ascii="仿宋_GB2312" w:eastAsia="仿宋_GB2312"/>
          <w:sz w:val="32"/>
          <w:szCs w:val="32"/>
        </w:rPr>
        <w:t>制定年度考核实施方案</w:t>
      </w:r>
      <w:r>
        <w:rPr>
          <w:rFonts w:hint="eastAsia" w:ascii="仿宋_GB2312" w:eastAsia="仿宋_GB2312"/>
          <w:sz w:val="32"/>
          <w:szCs w:val="32"/>
          <w:lang w:eastAsia="zh-CN"/>
        </w:rPr>
        <w:t>。</w:t>
      </w:r>
      <w:r>
        <w:rPr>
          <w:rFonts w:hint="eastAsia" w:ascii="仿宋_GB2312" w:eastAsia="仿宋_GB2312"/>
          <w:sz w:val="32"/>
          <w:szCs w:val="32"/>
        </w:rPr>
        <w:t>自治区水利厅商自治区考核工作组成员单位，于每年</w:t>
      </w:r>
      <w:r>
        <w:rPr>
          <w:rFonts w:ascii="仿宋_GB2312" w:eastAsia="仿宋_GB2312"/>
          <w:sz w:val="32"/>
          <w:szCs w:val="32"/>
        </w:rPr>
        <w:t>11</w:t>
      </w:r>
      <w:r>
        <w:rPr>
          <w:rFonts w:hint="eastAsia" w:ascii="仿宋_GB2312" w:eastAsia="仿宋_GB2312"/>
          <w:sz w:val="32"/>
          <w:szCs w:val="32"/>
        </w:rPr>
        <w:t>月底前制定印发年度考核实施方案，明确考核工作具体要求。</w:t>
      </w:r>
    </w:p>
    <w:p>
      <w:pPr>
        <w:keepNext w:val="0"/>
        <w:keepLines w:val="0"/>
        <w:pageBreakBefore w:val="0"/>
        <w:kinsoku/>
        <w:wordWrap/>
        <w:overflowPunct/>
        <w:topLinePunct w:val="0"/>
        <w:autoSpaceDE/>
        <w:autoSpaceDN/>
        <w:bidi w:val="0"/>
        <w:adjustRightInd/>
        <w:snapToGrid/>
        <w:spacing w:line="580" w:lineRule="exact"/>
        <w:ind w:firstLine="560"/>
        <w:textAlignment w:val="auto"/>
        <w:rPr>
          <w:rFonts w:ascii="仿宋_GB2312" w:eastAsia="仿宋_GB2312"/>
          <w:sz w:val="32"/>
          <w:szCs w:val="32"/>
        </w:rPr>
      </w:pPr>
      <w:r>
        <w:rPr>
          <w:rFonts w:hint="eastAsia" w:ascii="仿宋_GB2312" w:eastAsia="仿宋_GB2312"/>
          <w:sz w:val="32"/>
          <w:szCs w:val="32"/>
        </w:rPr>
        <w:t>盟市自评</w:t>
      </w:r>
      <w:r>
        <w:rPr>
          <w:rFonts w:hint="eastAsia" w:ascii="仿宋_GB2312" w:eastAsia="仿宋_GB2312"/>
          <w:sz w:val="32"/>
          <w:szCs w:val="32"/>
          <w:lang w:eastAsia="zh-CN"/>
        </w:rPr>
        <w:t>。</w:t>
      </w:r>
      <w:r>
        <w:rPr>
          <w:rFonts w:hint="eastAsia" w:ascii="仿宋_GB2312" w:eastAsia="仿宋_GB2312"/>
          <w:sz w:val="32"/>
          <w:szCs w:val="32"/>
        </w:rPr>
        <w:t>各盟行政公署、市人民政府按照本办法和年度考核实施方案要求，对本行政区</w:t>
      </w:r>
      <w:r>
        <w:rPr>
          <w:rFonts w:hint="eastAsia" w:ascii="仿宋_GB2312" w:eastAsia="仿宋_GB2312"/>
          <w:sz w:val="32"/>
          <w:szCs w:val="32"/>
          <w:lang w:eastAsia="zh-CN"/>
        </w:rPr>
        <w:t>域</w:t>
      </w:r>
      <w:r>
        <w:rPr>
          <w:rFonts w:hint="eastAsia" w:ascii="仿宋_GB2312" w:eastAsia="仿宋_GB2312"/>
          <w:sz w:val="32"/>
          <w:szCs w:val="32"/>
        </w:rPr>
        <w:t>水土保持目标责任落实情况进行全面总结和自评，形成书面自评报告，于次年</w:t>
      </w:r>
      <w:r>
        <w:rPr>
          <w:rFonts w:ascii="仿宋_GB2312" w:eastAsia="仿宋_GB2312"/>
          <w:sz w:val="32"/>
          <w:szCs w:val="32"/>
        </w:rPr>
        <w:t>1</w:t>
      </w:r>
      <w:r>
        <w:rPr>
          <w:rFonts w:hint="eastAsia" w:ascii="仿宋_GB2312" w:eastAsia="仿宋_GB2312"/>
          <w:sz w:val="32"/>
          <w:szCs w:val="32"/>
        </w:rPr>
        <w:t>月1</w:t>
      </w:r>
      <w:r>
        <w:rPr>
          <w:rFonts w:ascii="仿宋_GB2312" w:eastAsia="仿宋_GB2312"/>
          <w:sz w:val="32"/>
          <w:szCs w:val="32"/>
        </w:rPr>
        <w:t>0</w:t>
      </w:r>
      <w:r>
        <w:rPr>
          <w:rFonts w:hint="eastAsia" w:ascii="仿宋_GB2312" w:eastAsia="仿宋_GB2312"/>
          <w:sz w:val="32"/>
          <w:szCs w:val="32"/>
        </w:rPr>
        <w:t>日前将自评报告及相关支撑材料报送自治区水利厅。</w:t>
      </w:r>
    </w:p>
    <w:p>
      <w:pPr>
        <w:keepNext w:val="0"/>
        <w:keepLines w:val="0"/>
        <w:pageBreakBefore w:val="0"/>
        <w:kinsoku/>
        <w:wordWrap/>
        <w:overflowPunct/>
        <w:topLinePunct w:val="0"/>
        <w:autoSpaceDE/>
        <w:autoSpaceDN/>
        <w:bidi w:val="0"/>
        <w:adjustRightInd/>
        <w:snapToGrid/>
        <w:spacing w:line="580" w:lineRule="exact"/>
        <w:ind w:firstLine="560"/>
        <w:textAlignment w:val="auto"/>
        <w:rPr>
          <w:rFonts w:ascii="仿宋_GB2312" w:eastAsia="仿宋_GB2312"/>
          <w:sz w:val="32"/>
          <w:szCs w:val="32"/>
        </w:rPr>
      </w:pPr>
      <w:r>
        <w:rPr>
          <w:rFonts w:hint="eastAsia" w:ascii="仿宋_GB2312" w:eastAsia="仿宋_GB2312"/>
          <w:sz w:val="32"/>
          <w:szCs w:val="32"/>
        </w:rPr>
        <w:t>自治区考评</w:t>
      </w:r>
      <w:r>
        <w:rPr>
          <w:rFonts w:hint="eastAsia" w:ascii="仿宋_GB2312" w:eastAsia="仿宋_GB2312"/>
          <w:sz w:val="32"/>
          <w:szCs w:val="32"/>
          <w:lang w:eastAsia="zh-CN"/>
        </w:rPr>
        <w:t>。</w:t>
      </w:r>
      <w:r>
        <w:rPr>
          <w:rFonts w:hint="eastAsia" w:ascii="仿宋_GB2312" w:eastAsia="仿宋_GB2312"/>
          <w:sz w:val="32"/>
          <w:szCs w:val="32"/>
        </w:rPr>
        <w:t>自治区考核工作组按照本办法和年度考核实施方案要求，结合日常监督检查和现场抽查情况，对各盟市水土保持目标责任落实情况及自评报告进行审核，采用定量和定性分析相结合方式</w:t>
      </w:r>
      <w:r>
        <w:rPr>
          <w:rFonts w:hint="eastAsia" w:ascii="仿宋_GB2312" w:eastAsia="仿宋_GB2312"/>
          <w:sz w:val="32"/>
          <w:szCs w:val="32"/>
          <w:lang w:eastAsia="zh-CN"/>
        </w:rPr>
        <w:t>作</w:t>
      </w:r>
      <w:r>
        <w:rPr>
          <w:rFonts w:hint="eastAsia" w:ascii="仿宋_GB2312" w:eastAsia="仿宋_GB2312"/>
          <w:sz w:val="32"/>
          <w:szCs w:val="32"/>
        </w:rPr>
        <w:t>出综合评价，确定考核结果等级，报自治区人民政府审定。</w:t>
      </w:r>
    </w:p>
    <w:p>
      <w:pPr>
        <w:keepNext w:val="0"/>
        <w:keepLines w:val="0"/>
        <w:pageBreakBefore w:val="0"/>
        <w:kinsoku/>
        <w:wordWrap/>
        <w:overflowPunct/>
        <w:topLinePunct w:val="0"/>
        <w:autoSpaceDE/>
        <w:autoSpaceDN/>
        <w:bidi w:val="0"/>
        <w:adjustRightInd/>
        <w:snapToGrid/>
        <w:spacing w:line="580" w:lineRule="exact"/>
        <w:ind w:firstLine="560"/>
        <w:textAlignment w:val="auto"/>
        <w:rPr>
          <w:rFonts w:ascii="仿宋_GB2312" w:eastAsia="仿宋_GB2312"/>
          <w:sz w:val="32"/>
          <w:szCs w:val="32"/>
        </w:rPr>
      </w:pPr>
      <w:r>
        <w:rPr>
          <w:rFonts w:hint="eastAsia" w:ascii="仿宋_GB2312" w:eastAsia="仿宋_GB2312"/>
          <w:sz w:val="32"/>
          <w:szCs w:val="32"/>
        </w:rPr>
        <w:t>考核结果反馈</w:t>
      </w:r>
      <w:r>
        <w:rPr>
          <w:rFonts w:hint="eastAsia" w:ascii="仿宋_GB2312" w:eastAsia="仿宋_GB2312"/>
          <w:sz w:val="32"/>
          <w:szCs w:val="32"/>
          <w:lang w:eastAsia="zh-CN"/>
        </w:rPr>
        <w:t>。</w:t>
      </w:r>
      <w:r>
        <w:rPr>
          <w:rFonts w:hint="eastAsia" w:ascii="仿宋_GB2312" w:eastAsia="仿宋_GB2312"/>
          <w:sz w:val="32"/>
          <w:szCs w:val="32"/>
        </w:rPr>
        <w:t>考核结果经自治区人民政府审定后，由自治区水利厅通报各盟行政公署、市人民政府，与河长制考核和最严格水资源管理制度考核一并作为对盟行政公署、市人民政府领导班子综合考核评价的依据。</w:t>
      </w:r>
    </w:p>
    <w:p>
      <w:pPr>
        <w:keepNext w:val="0"/>
        <w:keepLines w:val="0"/>
        <w:pageBreakBefore w:val="0"/>
        <w:kinsoku/>
        <w:wordWrap/>
        <w:overflowPunct/>
        <w:topLinePunct w:val="0"/>
        <w:autoSpaceDE/>
        <w:autoSpaceDN/>
        <w:bidi w:val="0"/>
        <w:adjustRightInd/>
        <w:snapToGrid/>
        <w:spacing w:line="580" w:lineRule="exact"/>
        <w:ind w:firstLine="560"/>
        <w:textAlignment w:val="auto"/>
        <w:rPr>
          <w:rFonts w:ascii="仿宋_GB2312" w:eastAsia="仿宋_GB2312"/>
          <w:sz w:val="32"/>
          <w:szCs w:val="32"/>
        </w:rPr>
      </w:pPr>
      <w:r>
        <w:rPr>
          <w:rFonts w:hint="eastAsia" w:ascii="方正黑体_GBK" w:hAnsi="方正黑体_GBK" w:eastAsia="方正黑体_GBK" w:cs="方正黑体_GBK"/>
          <w:b w:val="0"/>
          <w:bCs w:val="0"/>
          <w:sz w:val="32"/>
          <w:szCs w:val="32"/>
        </w:rPr>
        <w:t xml:space="preserve">第九条 </w:t>
      </w:r>
      <w:r>
        <w:rPr>
          <w:rFonts w:hint="eastAsia" w:ascii="仿宋_GB2312" w:eastAsia="仿宋_GB2312"/>
          <w:sz w:val="32"/>
          <w:szCs w:val="32"/>
        </w:rPr>
        <w:t>评定为“优秀”的盟行政公署、市人民政府，在水土保持生态项目资金安排和政策上予以优先考虑。评定为“不合格”的盟行政公署、市人民政府，向自治区人民政府提交书面检查，并限期整改。</w:t>
      </w:r>
    </w:p>
    <w:p>
      <w:pPr>
        <w:keepNext w:val="0"/>
        <w:keepLines w:val="0"/>
        <w:pageBreakBefore w:val="0"/>
        <w:kinsoku/>
        <w:wordWrap/>
        <w:overflowPunct/>
        <w:topLinePunct w:val="0"/>
        <w:autoSpaceDE/>
        <w:autoSpaceDN/>
        <w:bidi w:val="0"/>
        <w:adjustRightInd/>
        <w:snapToGrid/>
        <w:spacing w:line="580" w:lineRule="exact"/>
        <w:ind w:firstLine="560"/>
        <w:textAlignment w:val="auto"/>
        <w:rPr>
          <w:rFonts w:hint="eastAsia" w:ascii="仿宋_GB2312" w:eastAsia="仿宋_GB2312"/>
          <w:sz w:val="32"/>
          <w:szCs w:val="32"/>
        </w:rPr>
      </w:pPr>
      <w:r>
        <w:rPr>
          <w:rFonts w:hint="eastAsia" w:ascii="方正黑体_GBK" w:hAnsi="方正黑体_GBK" w:eastAsia="方正黑体_GBK" w:cs="方正黑体_GBK"/>
          <w:b w:val="0"/>
          <w:bCs w:val="0"/>
          <w:sz w:val="32"/>
          <w:szCs w:val="32"/>
        </w:rPr>
        <w:t xml:space="preserve">第十条 </w:t>
      </w:r>
      <w:r>
        <w:rPr>
          <w:rFonts w:hint="eastAsia" w:ascii="仿宋_GB2312" w:eastAsia="仿宋_GB2312"/>
          <w:sz w:val="32"/>
          <w:szCs w:val="32"/>
        </w:rPr>
        <w:t>考核工作应严格遵守工作纪律，坚持原则，客观公正、实事求是。对考核工作中存在虚报、瞒报等弄虚作假行为的，依纪依法追究有关责任人的责任。</w:t>
      </w:r>
    </w:p>
    <w:p>
      <w:pPr>
        <w:keepNext w:val="0"/>
        <w:keepLines w:val="0"/>
        <w:pageBreakBefore w:val="0"/>
        <w:kinsoku/>
        <w:wordWrap/>
        <w:overflowPunct/>
        <w:topLinePunct w:val="0"/>
        <w:autoSpaceDE/>
        <w:autoSpaceDN/>
        <w:bidi w:val="0"/>
        <w:adjustRightInd/>
        <w:snapToGrid/>
        <w:spacing w:line="580" w:lineRule="exact"/>
        <w:ind w:firstLine="560"/>
        <w:textAlignment w:val="auto"/>
        <w:rPr>
          <w:rFonts w:ascii="仿宋_GB2312" w:eastAsia="仿宋_GB2312"/>
          <w:sz w:val="32"/>
          <w:szCs w:val="32"/>
        </w:rPr>
      </w:pPr>
      <w:r>
        <w:rPr>
          <w:rFonts w:hint="eastAsia" w:ascii="方正黑体_GBK" w:hAnsi="方正黑体_GBK" w:eastAsia="方正黑体_GBK" w:cs="方正黑体_GBK"/>
          <w:b w:val="0"/>
          <w:bCs w:val="0"/>
          <w:sz w:val="32"/>
          <w:szCs w:val="32"/>
        </w:rPr>
        <w:t>第十一条</w:t>
      </w:r>
      <w:r>
        <w:rPr>
          <w:rFonts w:hint="eastAsia" w:ascii="仿宋_GB2312" w:eastAsia="仿宋_GB2312"/>
          <w:sz w:val="32"/>
          <w:szCs w:val="32"/>
        </w:rPr>
        <w:t xml:space="preserve">  各盟行政公署、市人民政府可参照本办法，结合</w:t>
      </w:r>
      <w:r>
        <w:rPr>
          <w:rFonts w:hint="eastAsia" w:ascii="仿宋_GB2312" w:eastAsia="仿宋_GB2312"/>
          <w:sz w:val="32"/>
          <w:szCs w:val="32"/>
          <w:lang w:eastAsia="zh-CN"/>
        </w:rPr>
        <w:t>本地区</w:t>
      </w:r>
      <w:r>
        <w:rPr>
          <w:rFonts w:hint="eastAsia" w:ascii="仿宋_GB2312" w:eastAsia="仿宋_GB2312"/>
          <w:sz w:val="32"/>
          <w:szCs w:val="32"/>
        </w:rPr>
        <w:t>实际，制定对旗县</w:t>
      </w:r>
      <w:r>
        <w:rPr>
          <w:rFonts w:hint="eastAsia" w:ascii="仿宋_GB2312" w:eastAsia="仿宋_GB2312"/>
          <w:sz w:val="32"/>
          <w:szCs w:val="32"/>
          <w:lang w:eastAsia="zh-CN"/>
        </w:rPr>
        <w:t>（市、区）</w:t>
      </w:r>
      <w:r>
        <w:rPr>
          <w:rFonts w:hint="eastAsia" w:ascii="仿宋_GB2312" w:eastAsia="仿宋_GB2312"/>
          <w:sz w:val="32"/>
          <w:szCs w:val="32"/>
        </w:rPr>
        <w:t xml:space="preserve">人民政府水土保持目标责任的考核办法。 </w:t>
      </w:r>
    </w:p>
    <w:p>
      <w:pPr>
        <w:keepNext w:val="0"/>
        <w:keepLines w:val="0"/>
        <w:pageBreakBefore w:val="0"/>
        <w:kinsoku/>
        <w:wordWrap/>
        <w:overflowPunct/>
        <w:topLinePunct w:val="0"/>
        <w:autoSpaceDE/>
        <w:autoSpaceDN/>
        <w:bidi w:val="0"/>
        <w:adjustRightInd/>
        <w:snapToGrid/>
        <w:spacing w:line="580" w:lineRule="exact"/>
        <w:ind w:firstLine="560"/>
        <w:textAlignment w:val="auto"/>
        <w:rPr>
          <w:rFonts w:hint="eastAsia" w:ascii="仿宋_GB2312" w:eastAsia="仿宋_GB2312"/>
          <w:sz w:val="32"/>
          <w:szCs w:val="32"/>
        </w:rPr>
      </w:pPr>
      <w:r>
        <w:rPr>
          <w:rFonts w:hint="eastAsia" w:ascii="方正黑体_GBK" w:hAnsi="方正黑体_GBK" w:eastAsia="方正黑体_GBK" w:cs="方正黑体_GBK"/>
          <w:b w:val="0"/>
          <w:bCs w:val="0"/>
          <w:sz w:val="32"/>
          <w:szCs w:val="32"/>
        </w:rPr>
        <w:t xml:space="preserve">第十二条 </w:t>
      </w:r>
      <w:r>
        <w:rPr>
          <w:rFonts w:hint="eastAsia" w:ascii="仿宋_GB2312" w:eastAsia="仿宋_GB2312"/>
          <w:sz w:val="32"/>
          <w:szCs w:val="32"/>
        </w:rPr>
        <w:t xml:space="preserve"> 本办法自印发之日起施行。</w:t>
      </w:r>
    </w:p>
    <w:p>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仿宋_GB2312" w:eastAsia="仿宋_GB2312"/>
          <w:sz w:val="32"/>
          <w:szCs w:val="32"/>
          <w:lang w:eastAsia="zh-CN"/>
        </w:rPr>
      </w:pPr>
    </w:p>
    <w:p>
      <w:pPr>
        <w:keepNext w:val="0"/>
        <w:keepLines w:val="0"/>
        <w:pageBreakBefore w:val="0"/>
        <w:kinsoku/>
        <w:wordWrap/>
        <w:overflowPunct/>
        <w:topLinePunct w:val="0"/>
        <w:autoSpaceDE/>
        <w:autoSpaceDN/>
        <w:bidi w:val="0"/>
        <w:adjustRightInd/>
        <w:snapToGrid/>
        <w:spacing w:line="580" w:lineRule="exact"/>
        <w:ind w:firstLine="560"/>
        <w:textAlignment w:val="auto"/>
        <w:rPr>
          <w:rFonts w:hint="eastAsia" w:ascii="仿宋_GB2312" w:hAnsi="Calibri" w:eastAsia="仿宋_GB2312" w:cs="Mongolian Baiti"/>
          <w:sz w:val="32"/>
          <w:szCs w:val="32"/>
        </w:rPr>
      </w:pPr>
      <w:r>
        <w:rPr>
          <w:rFonts w:hint="eastAsia" w:ascii="仿宋_GB2312" w:hAnsi="Calibri" w:eastAsia="仿宋_GB2312" w:cs="Mongolian Baiti"/>
          <w:sz w:val="32"/>
          <w:szCs w:val="32"/>
          <w:lang w:eastAsia="zh-CN"/>
        </w:rPr>
        <w:t>附件：</w:t>
      </w:r>
      <w:r>
        <w:rPr>
          <w:rFonts w:hint="eastAsia" w:ascii="仿宋_GB2312" w:hAnsi="Calibri" w:eastAsia="仿宋_GB2312" w:cs="Mongolian Baiti"/>
          <w:sz w:val="32"/>
          <w:szCs w:val="32"/>
        </w:rPr>
        <w:t>内蒙古自治区水土保持目标责任考核评分标准</w:t>
      </w:r>
    </w:p>
    <w:p>
      <w:pPr>
        <w:ind w:firstLine="560"/>
        <w:rPr>
          <w:rFonts w:hint="eastAsia" w:ascii="仿宋_GB2312" w:eastAsia="仿宋_GB2312"/>
          <w:sz w:val="32"/>
          <w:szCs w:val="32"/>
          <w:lang w:eastAsia="zh-CN"/>
        </w:rPr>
      </w:pPr>
    </w:p>
    <w:p>
      <w:pPr>
        <w:ind w:firstLine="560"/>
        <w:rPr>
          <w:sz w:val="32"/>
          <w:szCs w:val="32"/>
        </w:rPr>
      </w:pPr>
    </w:p>
    <w:p>
      <w:pPr>
        <w:jc w:val="center"/>
        <w:rPr>
          <w:b/>
          <w:sz w:val="28"/>
          <w:szCs w:val="28"/>
        </w:rPr>
        <w:sectPr>
          <w:footerReference r:id="rId3" w:type="default"/>
          <w:footerReference r:id="rId4" w:type="even"/>
          <w:pgSz w:w="11906" w:h="16838"/>
          <w:pgMar w:top="2098" w:right="1474" w:bottom="1701" w:left="1474" w:header="851" w:footer="1417" w:gutter="0"/>
          <w:paperSrc/>
          <w:pgNumType w:fmt="numberInDash"/>
          <w:cols w:space="720" w:num="1"/>
          <w:rtlGutter w:val="0"/>
          <w:docGrid w:type="lines" w:linePitch="312" w:charSpace="0"/>
        </w:sectPr>
      </w:pPr>
    </w:p>
    <w:p>
      <w:pPr>
        <w:jc w:val="both"/>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rPr>
        <w:t>附件</w:t>
      </w:r>
      <w:r>
        <w:rPr>
          <w:rFonts w:hint="eastAsia" w:ascii="方正黑体_GBK" w:hAnsi="方正黑体_GBK" w:eastAsia="方正黑体_GBK" w:cs="方正黑体_GBK"/>
          <w:b w:val="0"/>
          <w:bCs/>
          <w:sz w:val="32"/>
          <w:szCs w:val="32"/>
          <w:lang w:val="en-US" w:eastAsia="zh-CN"/>
        </w:rPr>
        <w:t xml:space="preserve"> </w:t>
      </w:r>
    </w:p>
    <w:p>
      <w:pPr>
        <w:ind w:left="0" w:leftChars="0" w:firstLine="0" w:firstLineChars="0"/>
        <w:jc w:val="center"/>
        <w:rPr>
          <w:rFonts w:hint="eastAsia" w:ascii="方正小标宋简体" w:hAnsi="方正小标宋简体" w:eastAsia="方正小标宋简体" w:cs="方正小标宋简体"/>
          <w:b w:val="0"/>
          <w:bCs/>
          <w:spacing w:val="-17"/>
          <w:sz w:val="44"/>
          <w:szCs w:val="44"/>
        </w:rPr>
      </w:pPr>
      <w:r>
        <w:rPr>
          <w:rFonts w:hint="eastAsia" w:ascii="方正小标宋简体" w:hAnsi="方正小标宋简体" w:eastAsia="方正小标宋简体" w:cs="方正小标宋简体"/>
          <w:b w:val="0"/>
          <w:bCs/>
          <w:spacing w:val="-17"/>
          <w:sz w:val="44"/>
          <w:szCs w:val="44"/>
        </w:rPr>
        <w:t>内蒙古自治区水土保持目标责任考核评分标准</w:t>
      </w:r>
    </w:p>
    <w:tbl>
      <w:tblPr>
        <w:tblStyle w:val="7"/>
        <w:tblW w:w="854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
      <w:tblGrid>
        <w:gridCol w:w="1060"/>
        <w:gridCol w:w="428"/>
        <w:gridCol w:w="1116"/>
        <w:gridCol w:w="1356"/>
        <w:gridCol w:w="45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Ex>
        <w:trPr>
          <w:trHeight w:val="472" w:hRule="atLeast"/>
          <w:tblHeader/>
          <w:jc w:val="center"/>
        </w:trPr>
        <w:tc>
          <w:tcPr>
            <w:tcW w:w="1060"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考核</w:t>
            </w:r>
          </w:p>
          <w:p>
            <w:pPr>
              <w:jc w:val="center"/>
              <w:rPr>
                <w:rFonts w:hint="eastAsia" w:ascii="黑体" w:hAnsi="黑体" w:eastAsia="黑体" w:cs="黑体"/>
                <w:b/>
                <w:bCs/>
                <w:sz w:val="24"/>
                <w:szCs w:val="24"/>
              </w:rPr>
            </w:pPr>
            <w:r>
              <w:rPr>
                <w:rFonts w:hint="eastAsia" w:ascii="黑体" w:hAnsi="黑体" w:eastAsia="黑体" w:cs="黑体"/>
                <w:b/>
                <w:bCs/>
                <w:sz w:val="24"/>
                <w:szCs w:val="24"/>
              </w:rPr>
              <w:t>内容</w:t>
            </w:r>
          </w:p>
        </w:tc>
        <w:tc>
          <w:tcPr>
            <w:tcW w:w="428"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序号</w:t>
            </w:r>
          </w:p>
        </w:tc>
        <w:tc>
          <w:tcPr>
            <w:tcW w:w="2472" w:type="dxa"/>
            <w:gridSpan w:val="2"/>
            <w:tcBorders>
              <w:right w:val="single" w:color="auto" w:sz="4" w:space="0"/>
            </w:tcBorders>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考核指标</w:t>
            </w:r>
          </w:p>
        </w:tc>
        <w:tc>
          <w:tcPr>
            <w:tcW w:w="4589" w:type="dxa"/>
            <w:tcBorders>
              <w:left w:val="single" w:color="auto" w:sz="4" w:space="0"/>
            </w:tcBorders>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评</w:t>
            </w:r>
            <w:r>
              <w:rPr>
                <w:rFonts w:hint="eastAsia" w:ascii="黑体" w:hAnsi="黑体" w:eastAsia="黑体" w:cs="黑体"/>
                <w:b/>
                <w:bCs/>
                <w:sz w:val="24"/>
                <w:szCs w:val="24"/>
                <w:lang w:val="en-US" w:eastAsia="zh-CN"/>
              </w:rPr>
              <w:t xml:space="preserve"> </w:t>
            </w:r>
            <w:r>
              <w:rPr>
                <w:rFonts w:hint="eastAsia" w:ascii="黑体" w:hAnsi="黑体" w:eastAsia="黑体" w:cs="黑体"/>
                <w:b/>
                <w:bCs/>
                <w:sz w:val="24"/>
                <w:szCs w:val="24"/>
              </w:rPr>
              <w:t>分</w:t>
            </w:r>
            <w:r>
              <w:rPr>
                <w:rFonts w:hint="eastAsia" w:ascii="黑体" w:hAnsi="黑体" w:eastAsia="黑体" w:cs="黑体"/>
                <w:b/>
                <w:bCs/>
                <w:sz w:val="24"/>
                <w:szCs w:val="24"/>
                <w:lang w:val="en-US" w:eastAsia="zh-CN"/>
              </w:rPr>
              <w:t xml:space="preserve"> </w:t>
            </w:r>
            <w:r>
              <w:rPr>
                <w:rFonts w:hint="eastAsia" w:ascii="黑体" w:hAnsi="黑体" w:eastAsia="黑体" w:cs="黑体"/>
                <w:b/>
                <w:bCs/>
                <w:sz w:val="24"/>
                <w:szCs w:val="24"/>
              </w:rPr>
              <w:t>标</w:t>
            </w:r>
            <w:r>
              <w:rPr>
                <w:rFonts w:hint="eastAsia" w:ascii="黑体" w:hAnsi="黑体" w:eastAsia="黑体" w:cs="黑体"/>
                <w:b/>
                <w:bCs/>
                <w:sz w:val="24"/>
                <w:szCs w:val="24"/>
                <w:lang w:val="en-US" w:eastAsia="zh-CN"/>
              </w:rPr>
              <w:t xml:space="preserve"> </w:t>
            </w:r>
            <w:r>
              <w:rPr>
                <w:rFonts w:hint="eastAsia" w:ascii="黑体" w:hAnsi="黑体" w:eastAsia="黑体" w:cs="黑体"/>
                <w:b/>
                <w:bCs/>
                <w:sz w:val="24"/>
                <w:szCs w:val="24"/>
              </w:rPr>
              <w:t>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Ex>
        <w:trPr>
          <w:trHeight w:val="20" w:hRule="atLeast"/>
          <w:jc w:val="center"/>
        </w:trPr>
        <w:tc>
          <w:tcPr>
            <w:tcW w:w="1060" w:type="dxa"/>
            <w:vMerge w:val="restart"/>
            <w:noWrap w:val="0"/>
            <w:vAlign w:val="center"/>
          </w:tcPr>
          <w:p>
            <w:pPr>
              <w:jc w:val="center"/>
              <w:rPr>
                <w:rFonts w:hint="eastAsia" w:ascii="仿宋_GB2312" w:hAnsi="仿宋" w:eastAsia="仿宋_GB2312"/>
                <w:b/>
                <w:bCs/>
                <w:sz w:val="24"/>
                <w:szCs w:val="24"/>
              </w:rPr>
            </w:pPr>
            <w:r>
              <w:rPr>
                <w:rFonts w:hint="eastAsia" w:ascii="仿宋_GB2312" w:hAnsi="仿宋" w:eastAsia="仿宋_GB2312"/>
                <w:b/>
                <w:bCs/>
                <w:sz w:val="24"/>
                <w:szCs w:val="24"/>
              </w:rPr>
              <w:t>组织</w:t>
            </w:r>
          </w:p>
          <w:p>
            <w:pPr>
              <w:jc w:val="center"/>
              <w:rPr>
                <w:rFonts w:hint="eastAsia" w:ascii="仿宋_GB2312" w:hAnsi="仿宋" w:eastAsia="仿宋_GB2312"/>
                <w:b/>
                <w:bCs/>
                <w:sz w:val="24"/>
                <w:szCs w:val="24"/>
              </w:rPr>
            </w:pPr>
            <w:r>
              <w:rPr>
                <w:rFonts w:hint="eastAsia" w:ascii="仿宋_GB2312" w:hAnsi="仿宋" w:eastAsia="仿宋_GB2312"/>
                <w:b/>
                <w:bCs/>
                <w:sz w:val="24"/>
                <w:szCs w:val="24"/>
              </w:rPr>
              <w:t>领导</w:t>
            </w:r>
          </w:p>
          <w:p>
            <w:pPr>
              <w:jc w:val="center"/>
              <w:rPr>
                <w:rFonts w:hint="eastAsia" w:ascii="仿宋_GB2312" w:hAnsi="仿宋" w:eastAsia="仿宋_GB2312"/>
                <w:b/>
                <w:bCs/>
                <w:sz w:val="24"/>
                <w:szCs w:val="24"/>
              </w:rPr>
            </w:pPr>
            <w:r>
              <w:rPr>
                <w:rFonts w:hint="eastAsia" w:ascii="仿宋_GB2312" w:hAnsi="仿宋" w:eastAsia="仿宋_GB2312"/>
                <w:b/>
                <w:bCs/>
                <w:sz w:val="24"/>
                <w:szCs w:val="24"/>
              </w:rPr>
              <w:t>（20分）</w:t>
            </w:r>
          </w:p>
        </w:tc>
        <w:tc>
          <w:tcPr>
            <w:tcW w:w="428" w:type="dxa"/>
            <w:noWrap w:val="0"/>
            <w:vAlign w:val="center"/>
          </w:tcPr>
          <w:p>
            <w:pPr>
              <w:jc w:val="center"/>
              <w:rPr>
                <w:rFonts w:hint="eastAsia" w:ascii="仿宋_GB2312" w:hAnsi="仿宋" w:eastAsia="仿宋_GB2312"/>
                <w:b/>
                <w:bCs/>
                <w:sz w:val="24"/>
                <w:szCs w:val="24"/>
              </w:rPr>
            </w:pPr>
            <w:r>
              <w:rPr>
                <w:rFonts w:hint="eastAsia" w:ascii="仿宋_GB2312" w:hAnsi="仿宋" w:eastAsia="仿宋_GB2312"/>
                <w:b/>
                <w:bCs/>
                <w:sz w:val="24"/>
                <w:szCs w:val="24"/>
              </w:rPr>
              <w:t>1</w:t>
            </w:r>
          </w:p>
        </w:tc>
        <w:tc>
          <w:tcPr>
            <w:tcW w:w="1116"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目标责任制度落实情况</w:t>
            </w:r>
          </w:p>
          <w:p>
            <w:pPr>
              <w:jc w:val="center"/>
              <w:rPr>
                <w:rFonts w:hint="eastAsia"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7</w:t>
            </w:r>
            <w:r>
              <w:rPr>
                <w:rFonts w:hint="eastAsia" w:ascii="仿宋_GB2312" w:hAnsi="仿宋" w:eastAsia="仿宋_GB2312"/>
                <w:sz w:val="24"/>
                <w:szCs w:val="24"/>
              </w:rPr>
              <w:t>分）</w:t>
            </w:r>
          </w:p>
        </w:tc>
        <w:tc>
          <w:tcPr>
            <w:tcW w:w="1356" w:type="dxa"/>
            <w:tcBorders>
              <w:bottom w:val="single" w:color="auto" w:sz="4" w:space="0"/>
            </w:tcBorders>
            <w:noWrap w:val="0"/>
            <w:vAlign w:val="center"/>
          </w:tcPr>
          <w:p>
            <w:pPr>
              <w:jc w:val="both"/>
              <w:rPr>
                <w:rFonts w:hint="eastAsia" w:ascii="仿宋_GB2312" w:hAnsi="仿宋" w:eastAsia="仿宋_GB2312"/>
                <w:sz w:val="24"/>
                <w:szCs w:val="24"/>
              </w:rPr>
            </w:pPr>
            <w:r>
              <w:rPr>
                <w:rFonts w:hint="eastAsia" w:ascii="仿宋_GB2312" w:hAnsi="仿宋" w:eastAsia="仿宋_GB2312"/>
                <w:sz w:val="24"/>
                <w:szCs w:val="24"/>
              </w:rPr>
              <w:t>制度出台与实施</w:t>
            </w:r>
          </w:p>
          <w:p>
            <w:pPr>
              <w:jc w:val="both"/>
              <w:rPr>
                <w:rFonts w:hint="eastAsia" w:ascii="仿宋_GB2312" w:hAnsi="仿宋" w:eastAsia="仿宋_GB2312"/>
                <w:sz w:val="24"/>
                <w:szCs w:val="24"/>
              </w:rPr>
            </w:pPr>
            <w:r>
              <w:rPr>
                <w:rFonts w:hint="eastAsia" w:ascii="仿宋_GB2312" w:hAnsi="仿宋" w:eastAsia="仿宋_GB2312"/>
                <w:sz w:val="24"/>
                <w:szCs w:val="24"/>
              </w:rPr>
              <w:t>（7分）</w:t>
            </w:r>
          </w:p>
        </w:tc>
        <w:tc>
          <w:tcPr>
            <w:tcW w:w="4589" w:type="dxa"/>
            <w:tcBorders>
              <w:bottom w:val="single" w:color="auto" w:sz="4" w:space="0"/>
            </w:tcBorders>
            <w:noWrap w:val="0"/>
            <w:vAlign w:val="center"/>
          </w:tcPr>
          <w:p>
            <w:pPr>
              <w:jc w:val="both"/>
              <w:rPr>
                <w:rFonts w:hint="eastAsia" w:ascii="仿宋_GB2312" w:hAnsi="仿宋" w:eastAsia="仿宋_GB2312"/>
                <w:sz w:val="24"/>
                <w:szCs w:val="24"/>
              </w:rPr>
            </w:pPr>
            <w:r>
              <w:rPr>
                <w:rFonts w:hint="eastAsia" w:ascii="仿宋_GB2312" w:hAnsi="仿宋" w:eastAsia="仿宋_GB2312"/>
                <w:sz w:val="24"/>
                <w:szCs w:val="24"/>
              </w:rPr>
              <w:t>按照出台制度实施盟</w:t>
            </w:r>
            <w:r>
              <w:rPr>
                <w:rFonts w:hint="eastAsia" w:ascii="仿宋_GB2312" w:hAnsi="仿宋" w:eastAsia="仿宋_GB2312"/>
                <w:sz w:val="24"/>
                <w:szCs w:val="24"/>
                <w:lang w:eastAsia="zh-CN"/>
              </w:rPr>
              <w:t>行政公署、</w:t>
            </w:r>
            <w:r>
              <w:rPr>
                <w:rFonts w:hint="eastAsia" w:ascii="仿宋_GB2312" w:hAnsi="仿宋" w:eastAsia="仿宋_GB2312"/>
                <w:sz w:val="24"/>
                <w:szCs w:val="24"/>
              </w:rPr>
              <w:t>市人民政府对旗县级人民政府水土保持目标责任考核并将考核结果通报旗县级人民政府的，或将考核结果纳入盟</w:t>
            </w:r>
            <w:r>
              <w:rPr>
                <w:rFonts w:hint="eastAsia" w:ascii="仿宋_GB2312" w:hAnsi="仿宋" w:eastAsia="仿宋_GB2312"/>
                <w:sz w:val="24"/>
                <w:szCs w:val="24"/>
                <w:lang w:eastAsia="zh-CN"/>
              </w:rPr>
              <w:t>行政公署、</w:t>
            </w:r>
            <w:r>
              <w:rPr>
                <w:rFonts w:hint="eastAsia" w:ascii="仿宋_GB2312" w:hAnsi="仿宋" w:eastAsia="仿宋_GB2312"/>
                <w:sz w:val="24"/>
                <w:szCs w:val="24"/>
              </w:rPr>
              <w:t>市人民政府综合考核的，得7分；按照出台制度实施考核并将考核结果纳入盟市部门考核的，得5分；仅按照出台制度开展考核未将结果通报旗县级人民政府或纳入盟市级考核的，得3分；未出台制度、出台制度未开展考核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Ex>
        <w:trPr>
          <w:trHeight w:val="20" w:hRule="atLeast"/>
          <w:jc w:val="center"/>
        </w:trPr>
        <w:tc>
          <w:tcPr>
            <w:tcW w:w="1060" w:type="dxa"/>
            <w:vMerge w:val="continue"/>
            <w:noWrap w:val="0"/>
            <w:vAlign w:val="center"/>
          </w:tcPr>
          <w:p>
            <w:pPr>
              <w:jc w:val="center"/>
              <w:rPr>
                <w:rFonts w:hint="eastAsia" w:ascii="仿宋_GB2312" w:hAnsi="仿宋" w:eastAsia="仿宋_GB2312"/>
                <w:b/>
                <w:bCs/>
                <w:sz w:val="24"/>
                <w:szCs w:val="24"/>
              </w:rPr>
            </w:pPr>
          </w:p>
        </w:tc>
        <w:tc>
          <w:tcPr>
            <w:tcW w:w="428" w:type="dxa"/>
            <w:vMerge w:val="restart"/>
            <w:noWrap w:val="0"/>
            <w:vAlign w:val="center"/>
          </w:tcPr>
          <w:p>
            <w:pPr>
              <w:jc w:val="center"/>
              <w:rPr>
                <w:rFonts w:hint="eastAsia" w:ascii="仿宋_GB2312" w:hAnsi="仿宋" w:eastAsia="仿宋_GB2312"/>
                <w:b/>
                <w:bCs/>
                <w:sz w:val="24"/>
                <w:szCs w:val="24"/>
              </w:rPr>
            </w:pPr>
            <w:r>
              <w:rPr>
                <w:rFonts w:hint="eastAsia" w:ascii="仿宋_GB2312" w:hAnsi="仿宋" w:eastAsia="仿宋_GB2312"/>
                <w:b/>
                <w:bCs/>
                <w:sz w:val="24"/>
                <w:szCs w:val="24"/>
              </w:rPr>
              <w:t>2</w:t>
            </w:r>
          </w:p>
        </w:tc>
        <w:tc>
          <w:tcPr>
            <w:tcW w:w="1116" w:type="dxa"/>
            <w:vMerge w:val="restart"/>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工作机制建立情况（4分）</w:t>
            </w:r>
          </w:p>
        </w:tc>
        <w:tc>
          <w:tcPr>
            <w:tcW w:w="1356" w:type="dxa"/>
            <w:tcBorders>
              <w:top w:val="single" w:color="auto" w:sz="4" w:space="0"/>
            </w:tcBorders>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机制建立</w:t>
            </w:r>
          </w:p>
          <w:p>
            <w:pPr>
              <w:jc w:val="center"/>
              <w:rPr>
                <w:rFonts w:hint="eastAsia" w:ascii="仿宋_GB2312" w:hAnsi="仿宋" w:eastAsia="仿宋_GB2312"/>
                <w:sz w:val="24"/>
                <w:szCs w:val="24"/>
              </w:rPr>
            </w:pPr>
            <w:r>
              <w:rPr>
                <w:rFonts w:hint="eastAsia" w:ascii="仿宋_GB2312" w:hAnsi="仿宋" w:eastAsia="仿宋_GB2312"/>
                <w:sz w:val="24"/>
                <w:szCs w:val="24"/>
              </w:rPr>
              <w:t>（2分）</w:t>
            </w:r>
          </w:p>
        </w:tc>
        <w:tc>
          <w:tcPr>
            <w:tcW w:w="4589" w:type="dxa"/>
            <w:tcBorders>
              <w:top w:val="single" w:color="auto" w:sz="4" w:space="0"/>
            </w:tcBorders>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建立政府主导、部门协调的水土保持工作机制的得2分；未建立不得分。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Ex>
        <w:trPr>
          <w:trHeight w:val="20" w:hRule="atLeast"/>
          <w:jc w:val="center"/>
        </w:trPr>
        <w:tc>
          <w:tcPr>
            <w:tcW w:w="1060" w:type="dxa"/>
            <w:vMerge w:val="continue"/>
            <w:noWrap w:val="0"/>
            <w:vAlign w:val="center"/>
          </w:tcPr>
          <w:p>
            <w:pPr>
              <w:jc w:val="center"/>
              <w:rPr>
                <w:rFonts w:hint="eastAsia" w:ascii="仿宋_GB2312" w:hAnsi="仿宋" w:eastAsia="仿宋_GB2312"/>
                <w:b/>
                <w:bCs/>
                <w:sz w:val="24"/>
                <w:szCs w:val="24"/>
              </w:rPr>
            </w:pPr>
          </w:p>
        </w:tc>
        <w:tc>
          <w:tcPr>
            <w:tcW w:w="428" w:type="dxa"/>
            <w:vMerge w:val="continue"/>
            <w:noWrap w:val="0"/>
            <w:vAlign w:val="center"/>
          </w:tcPr>
          <w:p>
            <w:pPr>
              <w:jc w:val="center"/>
              <w:rPr>
                <w:rFonts w:hint="eastAsia" w:ascii="仿宋_GB2312" w:hAnsi="仿宋" w:eastAsia="仿宋_GB2312"/>
                <w:b/>
                <w:bCs/>
                <w:sz w:val="24"/>
                <w:szCs w:val="24"/>
              </w:rPr>
            </w:pPr>
          </w:p>
        </w:tc>
        <w:tc>
          <w:tcPr>
            <w:tcW w:w="1116" w:type="dxa"/>
            <w:vMerge w:val="continue"/>
            <w:noWrap w:val="0"/>
            <w:vAlign w:val="center"/>
          </w:tcPr>
          <w:p>
            <w:pPr>
              <w:jc w:val="center"/>
              <w:rPr>
                <w:rFonts w:hint="eastAsia" w:ascii="仿宋_GB2312" w:hAnsi="仿宋" w:eastAsia="仿宋_GB2312"/>
                <w:sz w:val="24"/>
                <w:szCs w:val="24"/>
              </w:rPr>
            </w:pPr>
          </w:p>
        </w:tc>
        <w:tc>
          <w:tcPr>
            <w:tcW w:w="1356" w:type="dxa"/>
            <w:tcBorders>
              <w:top w:val="single" w:color="auto" w:sz="4" w:space="0"/>
              <w:bottom w:val="single" w:color="auto" w:sz="4" w:space="0"/>
            </w:tcBorders>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落实责任</w:t>
            </w:r>
          </w:p>
          <w:p>
            <w:pPr>
              <w:jc w:val="center"/>
              <w:rPr>
                <w:rFonts w:hint="eastAsia" w:ascii="仿宋_GB2312" w:hAnsi="仿宋" w:eastAsia="仿宋_GB2312"/>
                <w:sz w:val="24"/>
                <w:szCs w:val="24"/>
              </w:rPr>
            </w:pPr>
            <w:r>
              <w:rPr>
                <w:rFonts w:hint="eastAsia" w:ascii="仿宋_GB2312" w:hAnsi="仿宋" w:eastAsia="仿宋_GB2312"/>
                <w:sz w:val="24"/>
                <w:szCs w:val="24"/>
              </w:rPr>
              <w:t>（2分）</w:t>
            </w:r>
          </w:p>
        </w:tc>
        <w:tc>
          <w:tcPr>
            <w:tcW w:w="4589" w:type="dxa"/>
            <w:tcBorders>
              <w:top w:val="single" w:color="auto" w:sz="4" w:space="0"/>
              <w:bottom w:val="single" w:color="auto" w:sz="4" w:space="0"/>
            </w:tcBorders>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年度水土流失综合治理任务分解到相关部门、旗县</w:t>
            </w:r>
            <w:r>
              <w:rPr>
                <w:rFonts w:hint="eastAsia" w:ascii="仿宋_GB2312" w:hAnsi="仿宋" w:eastAsia="仿宋_GB2312"/>
                <w:sz w:val="24"/>
                <w:szCs w:val="24"/>
                <w:lang w:eastAsia="zh-CN"/>
              </w:rPr>
              <w:t>（市、区）</w:t>
            </w:r>
            <w:r>
              <w:rPr>
                <w:rFonts w:hint="eastAsia" w:ascii="仿宋_GB2312" w:hAnsi="仿宋" w:eastAsia="仿宋_GB2312"/>
                <w:sz w:val="24"/>
                <w:szCs w:val="24"/>
              </w:rPr>
              <w:t>，落实责任的得</w:t>
            </w:r>
            <w:r>
              <w:rPr>
                <w:rFonts w:ascii="仿宋_GB2312" w:hAnsi="仿宋" w:eastAsia="仿宋_GB2312"/>
                <w:sz w:val="24"/>
                <w:szCs w:val="24"/>
              </w:rPr>
              <w:t>2</w:t>
            </w:r>
            <w:r>
              <w:rPr>
                <w:rFonts w:hint="eastAsia" w:ascii="仿宋_GB2312" w:hAnsi="仿宋" w:eastAsia="仿宋_GB2312"/>
                <w:sz w:val="24"/>
                <w:szCs w:val="24"/>
              </w:rPr>
              <w:t>分；任务未分解、责任未落实的不得分。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Ex>
        <w:trPr>
          <w:trHeight w:val="20" w:hRule="atLeast"/>
          <w:jc w:val="center"/>
        </w:trPr>
        <w:tc>
          <w:tcPr>
            <w:tcW w:w="1060" w:type="dxa"/>
            <w:vMerge w:val="continue"/>
            <w:noWrap w:val="0"/>
            <w:vAlign w:val="center"/>
          </w:tcPr>
          <w:p>
            <w:pPr>
              <w:jc w:val="center"/>
              <w:rPr>
                <w:rFonts w:hint="eastAsia" w:ascii="仿宋_GB2312" w:hAnsi="仿宋" w:eastAsia="仿宋_GB2312"/>
                <w:color w:val="FF0000"/>
                <w:sz w:val="24"/>
                <w:szCs w:val="24"/>
              </w:rPr>
            </w:pPr>
          </w:p>
        </w:tc>
        <w:tc>
          <w:tcPr>
            <w:tcW w:w="428" w:type="dxa"/>
            <w:vMerge w:val="restart"/>
            <w:noWrap w:val="0"/>
            <w:vAlign w:val="center"/>
          </w:tcPr>
          <w:p>
            <w:pPr>
              <w:jc w:val="center"/>
              <w:rPr>
                <w:rFonts w:hint="eastAsia" w:ascii="仿宋_GB2312" w:hAnsi="仿宋" w:eastAsia="仿宋_GB2312"/>
                <w:b/>
                <w:bCs/>
                <w:sz w:val="24"/>
                <w:szCs w:val="24"/>
              </w:rPr>
            </w:pPr>
            <w:r>
              <w:rPr>
                <w:rFonts w:hint="eastAsia" w:ascii="仿宋_GB2312" w:hAnsi="仿宋" w:eastAsia="仿宋_GB2312"/>
                <w:b/>
                <w:bCs/>
                <w:sz w:val="24"/>
                <w:szCs w:val="24"/>
              </w:rPr>
              <w:t>3</w:t>
            </w:r>
          </w:p>
        </w:tc>
        <w:tc>
          <w:tcPr>
            <w:tcW w:w="1116" w:type="dxa"/>
            <w:vMerge w:val="restart"/>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投入保障情况</w:t>
            </w:r>
          </w:p>
          <w:p>
            <w:pPr>
              <w:jc w:val="center"/>
              <w:rPr>
                <w:rFonts w:hint="eastAsia"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5</w:t>
            </w:r>
            <w:r>
              <w:rPr>
                <w:rFonts w:hint="eastAsia" w:ascii="仿宋_GB2312" w:hAnsi="仿宋" w:eastAsia="仿宋_GB2312"/>
                <w:sz w:val="24"/>
                <w:szCs w:val="24"/>
              </w:rPr>
              <w:t>分）</w:t>
            </w:r>
          </w:p>
        </w:tc>
        <w:tc>
          <w:tcPr>
            <w:tcW w:w="1356" w:type="dxa"/>
            <w:tcBorders>
              <w:bottom w:val="single" w:color="auto" w:sz="4" w:space="0"/>
            </w:tcBorders>
            <w:noWrap w:val="0"/>
            <w:vAlign w:val="center"/>
          </w:tcPr>
          <w:p>
            <w:pPr>
              <w:jc w:val="center"/>
              <w:rPr>
                <w:rFonts w:ascii="仿宋_GB2312" w:hAnsi="仿宋" w:eastAsia="仿宋_GB2312"/>
                <w:sz w:val="24"/>
                <w:szCs w:val="24"/>
              </w:rPr>
            </w:pPr>
            <w:r>
              <w:rPr>
                <w:rFonts w:hint="eastAsia" w:ascii="仿宋_GB2312" w:hAnsi="仿宋" w:eastAsia="仿宋_GB2312"/>
                <w:sz w:val="24"/>
                <w:szCs w:val="24"/>
              </w:rPr>
              <w:t>工程资金落实</w:t>
            </w:r>
          </w:p>
          <w:p>
            <w:pPr>
              <w:jc w:val="center"/>
              <w:rPr>
                <w:rFonts w:hint="eastAsia"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3</w:t>
            </w:r>
            <w:r>
              <w:rPr>
                <w:rFonts w:hint="eastAsia" w:ascii="仿宋_GB2312" w:hAnsi="仿宋" w:eastAsia="仿宋_GB2312"/>
                <w:sz w:val="24"/>
                <w:szCs w:val="24"/>
              </w:rPr>
              <w:t>分）</w:t>
            </w:r>
          </w:p>
        </w:tc>
        <w:tc>
          <w:tcPr>
            <w:tcW w:w="4589" w:type="dxa"/>
            <w:tcBorders>
              <w:bottom w:val="single" w:color="auto" w:sz="4" w:space="0"/>
            </w:tcBorders>
            <w:noWrap w:val="0"/>
            <w:vAlign w:val="center"/>
          </w:tcPr>
          <w:p>
            <w:pPr>
              <w:jc w:val="left"/>
              <w:rPr>
                <w:rFonts w:hint="eastAsia" w:ascii="仿宋_GB2312" w:hAnsi="仿宋" w:eastAsia="仿宋_GB2312"/>
                <w:b/>
                <w:bCs/>
                <w:sz w:val="24"/>
                <w:szCs w:val="24"/>
              </w:rPr>
            </w:pPr>
            <w:r>
              <w:rPr>
                <w:rFonts w:hint="eastAsia" w:ascii="仿宋_GB2312" w:hAnsi="仿宋" w:eastAsia="仿宋_GB2312"/>
                <w:sz w:val="24"/>
                <w:szCs w:val="24"/>
              </w:rPr>
              <w:t>落实国家水土保持重点工程地方配套资金的得</w:t>
            </w:r>
            <w:r>
              <w:rPr>
                <w:rFonts w:ascii="仿宋_GB2312" w:hAnsi="仿宋" w:eastAsia="仿宋_GB2312"/>
                <w:sz w:val="24"/>
                <w:szCs w:val="24"/>
              </w:rPr>
              <w:t>2</w:t>
            </w:r>
            <w:r>
              <w:rPr>
                <w:rFonts w:hint="eastAsia" w:ascii="仿宋_GB2312" w:hAnsi="仿宋" w:eastAsia="仿宋_GB2312"/>
                <w:sz w:val="24"/>
                <w:szCs w:val="24"/>
              </w:rPr>
              <w:t>分，未落实不得分；及时支付工程建设资金的得</w:t>
            </w:r>
            <w:r>
              <w:rPr>
                <w:rFonts w:ascii="仿宋_GB2312" w:hAnsi="仿宋" w:eastAsia="仿宋_GB2312"/>
                <w:sz w:val="24"/>
                <w:szCs w:val="24"/>
              </w:rPr>
              <w:t>1</w:t>
            </w:r>
            <w:r>
              <w:rPr>
                <w:rFonts w:hint="eastAsia" w:ascii="仿宋_GB2312" w:hAnsi="仿宋" w:eastAsia="仿宋_GB2312"/>
                <w:sz w:val="24"/>
                <w:szCs w:val="24"/>
              </w:rPr>
              <w:t>分，未及时支付资金的不得分。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Ex>
        <w:trPr>
          <w:trHeight w:val="20" w:hRule="atLeast"/>
          <w:jc w:val="center"/>
        </w:trPr>
        <w:tc>
          <w:tcPr>
            <w:tcW w:w="1060" w:type="dxa"/>
            <w:vMerge w:val="continue"/>
            <w:noWrap w:val="0"/>
            <w:vAlign w:val="center"/>
          </w:tcPr>
          <w:p>
            <w:pPr>
              <w:jc w:val="center"/>
              <w:rPr>
                <w:rFonts w:hint="eastAsia" w:ascii="仿宋_GB2312" w:hAnsi="仿宋" w:eastAsia="仿宋_GB2312"/>
                <w:color w:val="FF0000"/>
                <w:sz w:val="24"/>
                <w:szCs w:val="24"/>
              </w:rPr>
            </w:pPr>
          </w:p>
        </w:tc>
        <w:tc>
          <w:tcPr>
            <w:tcW w:w="428" w:type="dxa"/>
            <w:vMerge w:val="continue"/>
            <w:tcBorders>
              <w:bottom w:val="single" w:color="auto" w:sz="4" w:space="0"/>
            </w:tcBorders>
            <w:noWrap w:val="0"/>
            <w:vAlign w:val="center"/>
          </w:tcPr>
          <w:p>
            <w:pPr>
              <w:jc w:val="center"/>
              <w:rPr>
                <w:rFonts w:hint="eastAsia" w:ascii="仿宋_GB2312" w:hAnsi="仿宋" w:eastAsia="仿宋_GB2312"/>
                <w:b/>
                <w:bCs/>
                <w:sz w:val="24"/>
                <w:szCs w:val="24"/>
              </w:rPr>
            </w:pPr>
          </w:p>
        </w:tc>
        <w:tc>
          <w:tcPr>
            <w:tcW w:w="1116" w:type="dxa"/>
            <w:vMerge w:val="continue"/>
            <w:tcBorders>
              <w:bottom w:val="single" w:color="auto" w:sz="4" w:space="0"/>
            </w:tcBorders>
            <w:noWrap w:val="0"/>
            <w:vAlign w:val="center"/>
          </w:tcPr>
          <w:p>
            <w:pPr>
              <w:jc w:val="center"/>
              <w:rPr>
                <w:rFonts w:hint="eastAsia" w:ascii="仿宋_GB2312" w:hAnsi="仿宋" w:eastAsia="仿宋_GB2312"/>
                <w:sz w:val="24"/>
                <w:szCs w:val="24"/>
              </w:rPr>
            </w:pPr>
          </w:p>
        </w:tc>
        <w:tc>
          <w:tcPr>
            <w:tcW w:w="1356" w:type="dxa"/>
            <w:tcBorders>
              <w:top w:val="single" w:color="auto" w:sz="4" w:space="0"/>
              <w:bottom w:val="single" w:color="auto" w:sz="4" w:space="0"/>
            </w:tcBorders>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水土保持工作经费保障</w:t>
            </w:r>
          </w:p>
          <w:p>
            <w:pPr>
              <w:jc w:val="center"/>
              <w:rPr>
                <w:rFonts w:hint="eastAsia"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2</w:t>
            </w:r>
            <w:r>
              <w:rPr>
                <w:rFonts w:hint="eastAsia" w:ascii="仿宋_GB2312" w:hAnsi="仿宋" w:eastAsia="仿宋_GB2312"/>
                <w:sz w:val="24"/>
                <w:szCs w:val="24"/>
              </w:rPr>
              <w:t>分）</w:t>
            </w:r>
          </w:p>
        </w:tc>
        <w:tc>
          <w:tcPr>
            <w:tcW w:w="4589" w:type="dxa"/>
            <w:tcBorders>
              <w:top w:val="single" w:color="auto" w:sz="4" w:space="0"/>
              <w:bottom w:val="single" w:color="auto" w:sz="4" w:space="0"/>
            </w:tcBorders>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水土保持工作经费有保障，能正常开展水土保持各项工作的得</w:t>
            </w:r>
            <w:r>
              <w:rPr>
                <w:rFonts w:ascii="仿宋_GB2312" w:hAnsi="仿宋" w:eastAsia="仿宋_GB2312"/>
                <w:sz w:val="24"/>
                <w:szCs w:val="24"/>
              </w:rPr>
              <w:t>2</w:t>
            </w:r>
            <w:r>
              <w:rPr>
                <w:rFonts w:hint="eastAsia" w:ascii="仿宋_GB2312" w:hAnsi="仿宋" w:eastAsia="仿宋_GB2312"/>
                <w:sz w:val="24"/>
                <w:szCs w:val="24"/>
              </w:rPr>
              <w:t>分；经费没有保障的不得分。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Ex>
        <w:trPr>
          <w:trHeight w:val="545" w:hRule="atLeast"/>
          <w:jc w:val="center"/>
        </w:trPr>
        <w:tc>
          <w:tcPr>
            <w:tcW w:w="1060" w:type="dxa"/>
            <w:vMerge w:val="continue"/>
            <w:noWrap w:val="0"/>
            <w:vAlign w:val="center"/>
          </w:tcPr>
          <w:p>
            <w:pPr>
              <w:jc w:val="center"/>
              <w:rPr>
                <w:rFonts w:hint="eastAsia" w:ascii="仿宋_GB2312" w:hAnsi="仿宋" w:eastAsia="仿宋_GB2312"/>
                <w:color w:val="FF0000"/>
                <w:sz w:val="24"/>
                <w:szCs w:val="24"/>
              </w:rPr>
            </w:pPr>
          </w:p>
        </w:tc>
        <w:tc>
          <w:tcPr>
            <w:tcW w:w="428" w:type="dxa"/>
            <w:vMerge w:val="restart"/>
            <w:tcBorders>
              <w:top w:val="single" w:color="auto" w:sz="4" w:space="0"/>
            </w:tcBorders>
            <w:noWrap w:val="0"/>
            <w:vAlign w:val="center"/>
          </w:tcPr>
          <w:p>
            <w:pPr>
              <w:jc w:val="center"/>
              <w:rPr>
                <w:rFonts w:hint="eastAsia" w:ascii="仿宋_GB2312" w:hAnsi="仿宋" w:eastAsia="仿宋_GB2312"/>
                <w:b/>
                <w:bCs/>
                <w:sz w:val="24"/>
                <w:szCs w:val="24"/>
              </w:rPr>
            </w:pPr>
            <w:r>
              <w:rPr>
                <w:rFonts w:hint="eastAsia" w:ascii="仿宋_GB2312" w:hAnsi="仿宋" w:eastAsia="仿宋_GB2312"/>
                <w:b/>
                <w:bCs/>
                <w:sz w:val="24"/>
                <w:szCs w:val="24"/>
              </w:rPr>
              <w:t>4</w:t>
            </w:r>
          </w:p>
        </w:tc>
        <w:tc>
          <w:tcPr>
            <w:tcW w:w="1116" w:type="dxa"/>
            <w:vMerge w:val="restart"/>
            <w:tcBorders>
              <w:top w:val="single" w:color="auto" w:sz="4" w:space="0"/>
            </w:tcBorders>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履职督查与宣传情况</w:t>
            </w:r>
          </w:p>
          <w:p>
            <w:pPr>
              <w:jc w:val="center"/>
              <w:rPr>
                <w:rFonts w:hint="eastAsia"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4</w:t>
            </w:r>
            <w:r>
              <w:rPr>
                <w:rFonts w:hint="eastAsia" w:ascii="仿宋_GB2312" w:hAnsi="仿宋" w:eastAsia="仿宋_GB2312"/>
                <w:sz w:val="24"/>
                <w:szCs w:val="24"/>
              </w:rPr>
              <w:t>分）</w:t>
            </w:r>
          </w:p>
        </w:tc>
        <w:tc>
          <w:tcPr>
            <w:tcW w:w="1356" w:type="dxa"/>
            <w:tcBorders>
              <w:top w:val="single" w:color="auto" w:sz="4" w:space="0"/>
              <w:bottom w:val="single" w:color="auto" w:sz="4" w:space="0"/>
            </w:tcBorders>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履职督查</w:t>
            </w:r>
          </w:p>
          <w:p>
            <w:pPr>
              <w:jc w:val="center"/>
              <w:rPr>
                <w:rFonts w:hint="eastAsia"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2</w:t>
            </w:r>
            <w:r>
              <w:rPr>
                <w:rFonts w:hint="eastAsia" w:ascii="仿宋_GB2312" w:hAnsi="仿宋" w:eastAsia="仿宋_GB2312"/>
                <w:sz w:val="24"/>
                <w:szCs w:val="24"/>
              </w:rPr>
              <w:t>分）</w:t>
            </w:r>
          </w:p>
        </w:tc>
        <w:tc>
          <w:tcPr>
            <w:tcW w:w="4589" w:type="dxa"/>
            <w:tcBorders>
              <w:top w:val="single" w:color="auto" w:sz="4" w:space="0"/>
              <w:bottom w:val="single" w:color="auto" w:sz="4" w:space="0"/>
            </w:tcBorders>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盟市对旗县</w:t>
            </w:r>
            <w:r>
              <w:rPr>
                <w:rFonts w:hint="eastAsia" w:ascii="仿宋_GB2312" w:hAnsi="仿宋" w:eastAsia="仿宋_GB2312"/>
                <w:sz w:val="24"/>
                <w:szCs w:val="24"/>
                <w:lang w:eastAsia="zh-CN"/>
              </w:rPr>
              <w:t>（市、区）</w:t>
            </w:r>
            <w:r>
              <w:rPr>
                <w:rFonts w:hint="eastAsia" w:ascii="仿宋_GB2312" w:hAnsi="仿宋" w:eastAsia="仿宋_GB2312"/>
                <w:sz w:val="24"/>
                <w:szCs w:val="24"/>
              </w:rPr>
              <w:t>开展水土保持履职督查的得</w:t>
            </w:r>
            <w:r>
              <w:rPr>
                <w:rFonts w:ascii="仿宋_GB2312" w:hAnsi="仿宋" w:eastAsia="仿宋_GB2312"/>
                <w:sz w:val="24"/>
                <w:szCs w:val="24"/>
              </w:rPr>
              <w:t>2</w:t>
            </w:r>
            <w:r>
              <w:rPr>
                <w:rFonts w:hint="eastAsia" w:ascii="仿宋_GB2312" w:hAnsi="仿宋" w:eastAsia="仿宋_GB2312"/>
                <w:sz w:val="24"/>
                <w:szCs w:val="24"/>
              </w:rPr>
              <w:t>分，未开展履职督查的不得分。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Ex>
        <w:trPr>
          <w:trHeight w:val="1166" w:hRule="atLeast"/>
          <w:jc w:val="center"/>
        </w:trPr>
        <w:tc>
          <w:tcPr>
            <w:tcW w:w="1060" w:type="dxa"/>
            <w:vMerge w:val="continue"/>
            <w:noWrap w:val="0"/>
            <w:vAlign w:val="center"/>
          </w:tcPr>
          <w:p>
            <w:pPr>
              <w:jc w:val="center"/>
              <w:rPr>
                <w:rFonts w:hint="eastAsia" w:ascii="仿宋_GB2312" w:hAnsi="仿宋" w:eastAsia="仿宋_GB2312"/>
                <w:color w:val="FF0000"/>
                <w:sz w:val="24"/>
                <w:szCs w:val="24"/>
              </w:rPr>
            </w:pPr>
          </w:p>
        </w:tc>
        <w:tc>
          <w:tcPr>
            <w:tcW w:w="428" w:type="dxa"/>
            <w:vMerge w:val="continue"/>
            <w:noWrap w:val="0"/>
            <w:vAlign w:val="center"/>
          </w:tcPr>
          <w:p>
            <w:pPr>
              <w:jc w:val="center"/>
              <w:rPr>
                <w:rFonts w:hint="eastAsia" w:ascii="仿宋_GB2312" w:hAnsi="仿宋" w:eastAsia="仿宋_GB2312"/>
                <w:b/>
                <w:bCs/>
                <w:sz w:val="24"/>
                <w:szCs w:val="24"/>
              </w:rPr>
            </w:pPr>
          </w:p>
        </w:tc>
        <w:tc>
          <w:tcPr>
            <w:tcW w:w="1116" w:type="dxa"/>
            <w:vMerge w:val="continue"/>
            <w:noWrap w:val="0"/>
            <w:vAlign w:val="center"/>
          </w:tcPr>
          <w:p>
            <w:pPr>
              <w:jc w:val="center"/>
              <w:rPr>
                <w:rFonts w:hint="eastAsia" w:ascii="仿宋_GB2312" w:hAnsi="仿宋" w:eastAsia="仿宋_GB2312"/>
                <w:sz w:val="24"/>
                <w:szCs w:val="24"/>
              </w:rPr>
            </w:pPr>
          </w:p>
        </w:tc>
        <w:tc>
          <w:tcPr>
            <w:tcW w:w="1356" w:type="dxa"/>
            <w:tcBorders>
              <w:top w:val="single" w:color="auto" w:sz="4" w:space="0"/>
            </w:tcBorders>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宣传教育</w:t>
            </w:r>
          </w:p>
          <w:p>
            <w:pPr>
              <w:jc w:val="center"/>
              <w:rPr>
                <w:rFonts w:hint="eastAsia"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2</w:t>
            </w:r>
            <w:r>
              <w:rPr>
                <w:rFonts w:hint="eastAsia" w:ascii="仿宋_GB2312" w:hAnsi="仿宋" w:eastAsia="仿宋_GB2312"/>
                <w:sz w:val="24"/>
                <w:szCs w:val="24"/>
              </w:rPr>
              <w:t>分）</w:t>
            </w:r>
          </w:p>
        </w:tc>
        <w:tc>
          <w:tcPr>
            <w:tcW w:w="4589" w:type="dxa"/>
            <w:tcBorders>
              <w:top w:val="single" w:color="auto" w:sz="4" w:space="0"/>
            </w:tcBorders>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开展水土保持宣传教育活动的得</w:t>
            </w:r>
            <w:r>
              <w:rPr>
                <w:rFonts w:ascii="仿宋_GB2312" w:hAnsi="仿宋" w:eastAsia="仿宋_GB2312"/>
                <w:sz w:val="24"/>
                <w:szCs w:val="24"/>
              </w:rPr>
              <w:t>1</w:t>
            </w:r>
            <w:r>
              <w:rPr>
                <w:rFonts w:hint="eastAsia" w:ascii="仿宋_GB2312" w:hAnsi="仿宋" w:eastAsia="仿宋_GB2312"/>
                <w:sz w:val="24"/>
                <w:szCs w:val="24"/>
              </w:rPr>
              <w:t>分，未开展</w:t>
            </w:r>
            <w:r>
              <w:rPr>
                <w:rFonts w:hint="eastAsia" w:ascii="仿宋_GB2312" w:hAnsi="仿宋" w:eastAsia="仿宋_GB2312"/>
                <w:sz w:val="24"/>
                <w:szCs w:val="24"/>
                <w:lang w:eastAsia="zh-CN"/>
              </w:rPr>
              <w:t>的</w:t>
            </w:r>
            <w:r>
              <w:rPr>
                <w:rFonts w:hint="eastAsia" w:ascii="仿宋_GB2312" w:hAnsi="仿宋" w:eastAsia="仿宋_GB2312"/>
                <w:sz w:val="24"/>
                <w:szCs w:val="24"/>
              </w:rPr>
              <w:t>不得分；在国家或自治区级报纸、杂志、网站刊登宣传报道的得</w:t>
            </w:r>
            <w:r>
              <w:rPr>
                <w:rFonts w:ascii="仿宋_GB2312" w:hAnsi="仿宋" w:eastAsia="仿宋_GB2312"/>
                <w:sz w:val="24"/>
                <w:szCs w:val="24"/>
              </w:rPr>
              <w:t>1</w:t>
            </w:r>
            <w:r>
              <w:rPr>
                <w:rFonts w:hint="eastAsia" w:ascii="仿宋_GB2312" w:hAnsi="仿宋" w:eastAsia="仿宋_GB2312"/>
                <w:sz w:val="24"/>
                <w:szCs w:val="24"/>
              </w:rPr>
              <w:t>分，未报道</w:t>
            </w:r>
            <w:r>
              <w:rPr>
                <w:rFonts w:hint="eastAsia" w:ascii="仿宋_GB2312" w:hAnsi="仿宋" w:eastAsia="仿宋_GB2312"/>
                <w:sz w:val="24"/>
                <w:szCs w:val="24"/>
                <w:lang w:eastAsia="zh-CN"/>
              </w:rPr>
              <w:t>的</w:t>
            </w:r>
            <w:r>
              <w:rPr>
                <w:rFonts w:hint="eastAsia" w:ascii="仿宋_GB2312" w:hAnsi="仿宋" w:eastAsia="仿宋_GB2312"/>
                <w:sz w:val="24"/>
                <w:szCs w:val="24"/>
              </w:rPr>
              <w:t>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Ex>
        <w:trPr>
          <w:trHeight w:val="1496" w:hRule="atLeast"/>
          <w:jc w:val="center"/>
        </w:trPr>
        <w:tc>
          <w:tcPr>
            <w:tcW w:w="1060" w:type="dxa"/>
            <w:vMerge w:val="restart"/>
            <w:noWrap w:val="0"/>
            <w:vAlign w:val="center"/>
          </w:tcPr>
          <w:p>
            <w:pPr>
              <w:jc w:val="center"/>
              <w:rPr>
                <w:rFonts w:hint="eastAsia" w:ascii="仿宋_GB2312" w:hAnsi="仿宋" w:eastAsia="仿宋_GB2312"/>
                <w:b/>
                <w:bCs/>
                <w:sz w:val="24"/>
                <w:szCs w:val="24"/>
              </w:rPr>
            </w:pPr>
            <w:r>
              <w:rPr>
                <w:rFonts w:hint="eastAsia" w:ascii="仿宋_GB2312" w:hAnsi="仿宋" w:eastAsia="仿宋_GB2312"/>
                <w:b/>
                <w:bCs/>
                <w:sz w:val="24"/>
                <w:szCs w:val="24"/>
              </w:rPr>
              <w:t>总体目标任务</w:t>
            </w:r>
          </w:p>
          <w:p>
            <w:pPr>
              <w:jc w:val="center"/>
              <w:rPr>
                <w:rFonts w:hint="eastAsia" w:ascii="仿宋_GB2312" w:hAnsi="仿宋" w:eastAsia="仿宋_GB2312"/>
                <w:b/>
                <w:bCs/>
                <w:sz w:val="24"/>
                <w:szCs w:val="24"/>
              </w:rPr>
            </w:pPr>
            <w:r>
              <w:rPr>
                <w:rFonts w:hint="eastAsia" w:ascii="仿宋_GB2312" w:hAnsi="仿宋" w:eastAsia="仿宋_GB2312"/>
                <w:b/>
                <w:bCs/>
                <w:sz w:val="24"/>
                <w:szCs w:val="24"/>
              </w:rPr>
              <w:t>（10分）</w:t>
            </w:r>
          </w:p>
        </w:tc>
        <w:tc>
          <w:tcPr>
            <w:tcW w:w="428" w:type="dxa"/>
            <w:vMerge w:val="restart"/>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5</w:t>
            </w:r>
          </w:p>
        </w:tc>
        <w:tc>
          <w:tcPr>
            <w:tcW w:w="1116" w:type="dxa"/>
            <w:vMerge w:val="restart"/>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水土保持率变化情况</w:t>
            </w:r>
          </w:p>
          <w:p>
            <w:pPr>
              <w:jc w:val="center"/>
              <w:rPr>
                <w:rFonts w:hint="eastAsia" w:ascii="仿宋_GB2312" w:hAnsi="仿宋" w:eastAsia="仿宋_GB2312"/>
                <w:sz w:val="24"/>
                <w:szCs w:val="24"/>
              </w:rPr>
            </w:pPr>
            <w:r>
              <w:rPr>
                <w:rFonts w:hint="eastAsia" w:ascii="仿宋_GB2312" w:hAnsi="仿宋" w:eastAsia="仿宋_GB2312"/>
                <w:sz w:val="24"/>
                <w:szCs w:val="24"/>
              </w:rPr>
              <w:t>（10分）</w:t>
            </w:r>
          </w:p>
        </w:tc>
        <w:tc>
          <w:tcPr>
            <w:tcW w:w="1356"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水土保持率达标情况</w:t>
            </w:r>
          </w:p>
          <w:p>
            <w:pPr>
              <w:jc w:val="center"/>
              <w:rPr>
                <w:rFonts w:hint="eastAsia" w:ascii="仿宋_GB2312" w:hAnsi="仿宋" w:eastAsia="仿宋_GB2312"/>
                <w:sz w:val="24"/>
                <w:szCs w:val="24"/>
              </w:rPr>
            </w:pPr>
            <w:r>
              <w:rPr>
                <w:rFonts w:hint="eastAsia" w:ascii="仿宋_GB2312" w:hAnsi="仿宋" w:eastAsia="仿宋_GB2312"/>
                <w:sz w:val="24"/>
                <w:szCs w:val="24"/>
              </w:rPr>
              <w:t>（7分）</w:t>
            </w:r>
          </w:p>
        </w:tc>
        <w:tc>
          <w:tcPr>
            <w:tcW w:w="4589" w:type="dxa"/>
            <w:noWrap w:val="0"/>
            <w:vAlign w:val="center"/>
          </w:tcPr>
          <w:p>
            <w:pPr>
              <w:jc w:val="left"/>
              <w:rPr>
                <w:rFonts w:hint="eastAsia" w:ascii="仿宋_GB2312" w:hAnsi="仿宋" w:eastAsia="仿宋_GB2312"/>
                <w:sz w:val="24"/>
                <w:szCs w:val="24"/>
              </w:rPr>
            </w:pPr>
            <w:r>
              <w:rPr>
                <w:rFonts w:ascii="仿宋_GB2312" w:hAnsi="仿宋" w:eastAsia="仿宋_GB2312"/>
                <w:sz w:val="24"/>
                <w:szCs w:val="24"/>
              </w:rPr>
              <w:t>与</w:t>
            </w:r>
            <w:r>
              <w:rPr>
                <w:rFonts w:hint="eastAsia" w:ascii="仿宋_GB2312" w:hAnsi="仿宋" w:eastAsia="仿宋_GB2312"/>
                <w:sz w:val="24"/>
                <w:szCs w:val="24"/>
              </w:rPr>
              <w:t>上年度</w:t>
            </w:r>
            <w:r>
              <w:rPr>
                <w:rFonts w:ascii="仿宋_GB2312" w:hAnsi="仿宋" w:eastAsia="仿宋_GB2312"/>
                <w:sz w:val="24"/>
                <w:szCs w:val="24"/>
              </w:rPr>
              <w:t>水土保持率相比，根据其增加值与年度增加目标值的比值赋分，比值大于等于</w:t>
            </w:r>
            <w:r>
              <w:rPr>
                <w:rFonts w:hint="eastAsia" w:ascii="仿宋_GB2312" w:hAnsi="仿宋" w:eastAsia="仿宋_GB2312"/>
                <w:sz w:val="24"/>
                <w:szCs w:val="24"/>
              </w:rPr>
              <w:t>1.0</w:t>
            </w:r>
            <w:r>
              <w:rPr>
                <w:rFonts w:ascii="仿宋_GB2312" w:hAnsi="仿宋" w:eastAsia="仿宋_GB2312"/>
                <w:sz w:val="24"/>
                <w:szCs w:val="24"/>
              </w:rPr>
              <w:t>的，得</w:t>
            </w:r>
            <w:r>
              <w:rPr>
                <w:rFonts w:hint="eastAsia" w:ascii="仿宋_GB2312" w:hAnsi="仿宋" w:eastAsia="仿宋_GB2312"/>
                <w:sz w:val="24"/>
                <w:szCs w:val="24"/>
              </w:rPr>
              <w:t>7</w:t>
            </w:r>
            <w:r>
              <w:rPr>
                <w:rFonts w:ascii="仿宋_GB2312" w:hAnsi="仿宋" w:eastAsia="仿宋_GB2312"/>
                <w:sz w:val="24"/>
                <w:szCs w:val="24"/>
              </w:rPr>
              <w:t>分；</w:t>
            </w:r>
            <w:r>
              <w:rPr>
                <w:rFonts w:hint="eastAsia" w:ascii="仿宋_GB2312" w:hAnsi="仿宋" w:eastAsia="仿宋_GB2312"/>
                <w:sz w:val="24"/>
                <w:szCs w:val="24"/>
              </w:rPr>
              <w:t>其它按比值乘以7分计算得分。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Ex>
        <w:trPr>
          <w:trHeight w:val="1457" w:hRule="atLeast"/>
          <w:jc w:val="center"/>
        </w:trPr>
        <w:tc>
          <w:tcPr>
            <w:tcW w:w="1060" w:type="dxa"/>
            <w:vMerge w:val="continue"/>
            <w:noWrap w:val="0"/>
            <w:vAlign w:val="center"/>
          </w:tcPr>
          <w:p>
            <w:pPr>
              <w:jc w:val="center"/>
              <w:rPr>
                <w:rFonts w:hint="eastAsia" w:ascii="仿宋_GB2312" w:hAnsi="仿宋" w:eastAsia="仿宋_GB2312"/>
                <w:b/>
                <w:bCs/>
                <w:sz w:val="24"/>
                <w:szCs w:val="24"/>
              </w:rPr>
            </w:pPr>
          </w:p>
        </w:tc>
        <w:tc>
          <w:tcPr>
            <w:tcW w:w="428" w:type="dxa"/>
            <w:vMerge w:val="continue"/>
            <w:noWrap w:val="0"/>
            <w:vAlign w:val="center"/>
          </w:tcPr>
          <w:p>
            <w:pPr>
              <w:jc w:val="center"/>
              <w:rPr>
                <w:rFonts w:hint="eastAsia" w:ascii="仿宋_GB2312" w:hAnsi="仿宋" w:eastAsia="仿宋_GB2312"/>
                <w:b/>
                <w:sz w:val="24"/>
                <w:szCs w:val="24"/>
              </w:rPr>
            </w:pPr>
          </w:p>
        </w:tc>
        <w:tc>
          <w:tcPr>
            <w:tcW w:w="1116" w:type="dxa"/>
            <w:vMerge w:val="continue"/>
            <w:noWrap w:val="0"/>
            <w:vAlign w:val="center"/>
          </w:tcPr>
          <w:p>
            <w:pPr>
              <w:jc w:val="center"/>
              <w:rPr>
                <w:rFonts w:hint="eastAsia" w:ascii="仿宋_GB2312" w:hAnsi="仿宋" w:eastAsia="仿宋_GB2312"/>
                <w:sz w:val="24"/>
                <w:szCs w:val="24"/>
              </w:rPr>
            </w:pPr>
          </w:p>
        </w:tc>
        <w:tc>
          <w:tcPr>
            <w:tcW w:w="1356"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水土流失强度变化情况（3分）</w:t>
            </w:r>
          </w:p>
        </w:tc>
        <w:tc>
          <w:tcPr>
            <w:tcW w:w="4589" w:type="dxa"/>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强度等级中度以上水土流失面积较上年度减少的得3分；较上年度增加的不得分。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Ex>
        <w:trPr>
          <w:trHeight w:val="2363" w:hRule="atLeast"/>
          <w:jc w:val="center"/>
        </w:trPr>
        <w:tc>
          <w:tcPr>
            <w:tcW w:w="1060" w:type="dxa"/>
            <w:vMerge w:val="restart"/>
            <w:noWrap w:val="0"/>
            <w:vAlign w:val="center"/>
          </w:tcPr>
          <w:p>
            <w:pPr>
              <w:jc w:val="center"/>
              <w:rPr>
                <w:rFonts w:hint="eastAsia" w:ascii="仿宋_GB2312" w:hAnsi="仿宋" w:eastAsia="仿宋_GB2312"/>
                <w:b/>
                <w:bCs/>
                <w:sz w:val="24"/>
                <w:szCs w:val="24"/>
              </w:rPr>
            </w:pPr>
            <w:r>
              <w:rPr>
                <w:rFonts w:hint="eastAsia" w:ascii="仿宋_GB2312" w:hAnsi="仿宋" w:eastAsia="仿宋_GB2312"/>
                <w:b/>
                <w:bCs/>
                <w:sz w:val="24"/>
                <w:szCs w:val="24"/>
              </w:rPr>
              <w:t>综合</w:t>
            </w:r>
          </w:p>
          <w:p>
            <w:pPr>
              <w:jc w:val="center"/>
              <w:rPr>
                <w:rFonts w:hint="eastAsia" w:ascii="仿宋_GB2312" w:hAnsi="仿宋" w:eastAsia="仿宋_GB2312"/>
                <w:b/>
                <w:bCs/>
                <w:sz w:val="24"/>
                <w:szCs w:val="24"/>
              </w:rPr>
            </w:pPr>
            <w:r>
              <w:rPr>
                <w:rFonts w:hint="eastAsia" w:ascii="仿宋_GB2312" w:hAnsi="仿宋" w:eastAsia="仿宋_GB2312"/>
                <w:b/>
                <w:bCs/>
                <w:sz w:val="24"/>
                <w:szCs w:val="24"/>
              </w:rPr>
              <w:t>治理</w:t>
            </w:r>
          </w:p>
          <w:p>
            <w:pPr>
              <w:jc w:val="center"/>
              <w:rPr>
                <w:rFonts w:hint="eastAsia" w:ascii="仿宋_GB2312" w:hAnsi="仿宋" w:eastAsia="仿宋_GB2312"/>
                <w:b/>
                <w:bCs/>
                <w:sz w:val="24"/>
                <w:szCs w:val="24"/>
              </w:rPr>
            </w:pPr>
            <w:r>
              <w:rPr>
                <w:rFonts w:hint="eastAsia" w:ascii="仿宋_GB2312" w:hAnsi="仿宋" w:eastAsia="仿宋_GB2312"/>
                <w:b/>
                <w:bCs/>
                <w:sz w:val="24"/>
                <w:szCs w:val="24"/>
              </w:rPr>
              <w:t>（30分）</w:t>
            </w:r>
          </w:p>
        </w:tc>
        <w:tc>
          <w:tcPr>
            <w:tcW w:w="428" w:type="dxa"/>
            <w:vMerge w:val="restart"/>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6</w:t>
            </w:r>
          </w:p>
        </w:tc>
        <w:tc>
          <w:tcPr>
            <w:tcW w:w="1116" w:type="dxa"/>
            <w:vMerge w:val="restart"/>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水土流失综合治理目标完成情况</w:t>
            </w:r>
          </w:p>
          <w:p>
            <w:pPr>
              <w:jc w:val="center"/>
              <w:rPr>
                <w:rFonts w:hint="eastAsia" w:ascii="仿宋_GB2312" w:hAnsi="仿宋" w:eastAsia="仿宋_GB2312"/>
                <w:sz w:val="24"/>
                <w:szCs w:val="24"/>
              </w:rPr>
            </w:pPr>
            <w:r>
              <w:rPr>
                <w:rFonts w:hint="eastAsia" w:ascii="仿宋_GB2312" w:hAnsi="仿宋" w:eastAsia="仿宋_GB2312"/>
                <w:sz w:val="24"/>
                <w:szCs w:val="24"/>
              </w:rPr>
              <w:t>（20分）</w:t>
            </w:r>
          </w:p>
        </w:tc>
        <w:tc>
          <w:tcPr>
            <w:tcW w:w="1356"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治理任务完成情况</w:t>
            </w:r>
          </w:p>
          <w:p>
            <w:pPr>
              <w:jc w:val="center"/>
              <w:rPr>
                <w:rFonts w:hint="eastAsia" w:ascii="仿宋_GB2312" w:hAnsi="仿宋" w:eastAsia="仿宋_GB2312"/>
                <w:sz w:val="24"/>
                <w:szCs w:val="24"/>
              </w:rPr>
            </w:pPr>
            <w:r>
              <w:rPr>
                <w:rFonts w:hint="eastAsia" w:ascii="仿宋_GB2312" w:hAnsi="仿宋" w:eastAsia="仿宋_GB2312"/>
                <w:sz w:val="24"/>
                <w:szCs w:val="24"/>
              </w:rPr>
              <w:t>（12分）</w:t>
            </w:r>
          </w:p>
        </w:tc>
        <w:tc>
          <w:tcPr>
            <w:tcW w:w="4589" w:type="dxa"/>
            <w:noWrap w:val="0"/>
            <w:vAlign w:val="center"/>
          </w:tcPr>
          <w:p>
            <w:pPr>
              <w:jc w:val="both"/>
              <w:rPr>
                <w:rFonts w:hint="eastAsia" w:ascii="仿宋_GB2312" w:hAnsi="仿宋" w:eastAsia="仿宋_GB2312"/>
                <w:sz w:val="24"/>
                <w:szCs w:val="24"/>
              </w:rPr>
            </w:pPr>
            <w:r>
              <w:rPr>
                <w:rFonts w:hint="eastAsia" w:ascii="仿宋_GB2312" w:hAnsi="仿宋" w:eastAsia="仿宋_GB2312"/>
                <w:sz w:val="24"/>
                <w:szCs w:val="24"/>
              </w:rPr>
              <w:t>年度新增水土流失治理任务（国家、地方及相关部门、社会力量新增水土流失治理面积）完成率大于等于100%的，得7分；其它按完成率乘以7分计算得分。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 w:eastAsia="仿宋_GB2312"/>
                <w:sz w:val="24"/>
                <w:szCs w:val="24"/>
              </w:rPr>
            </w:pPr>
            <w:r>
              <w:rPr>
                <w:rFonts w:hint="eastAsia" w:ascii="仿宋_GB2312" w:hAnsi="仿宋" w:eastAsia="仿宋_GB2312"/>
                <w:sz w:val="24"/>
                <w:szCs w:val="24"/>
                <w:lang w:eastAsia="zh-CN"/>
              </w:rPr>
              <w:t>按照落实全区综合治理任务贡献率，对各盟市治理任务完成情况实行差异</w:t>
            </w:r>
            <w:r>
              <w:rPr>
                <w:rFonts w:hint="eastAsia" w:ascii="仿宋_GB2312" w:hAnsi="仿宋" w:eastAsia="仿宋_GB2312"/>
                <w:color w:val="auto"/>
                <w:sz w:val="24"/>
                <w:szCs w:val="24"/>
                <w:lang w:eastAsia="zh-CN"/>
              </w:rPr>
              <w:t>化赋分：</w:t>
            </w:r>
            <w:r>
              <w:rPr>
                <w:rFonts w:hint="eastAsia" w:ascii="仿宋_GB2312" w:hAnsi="仿宋" w:eastAsia="仿宋_GB2312"/>
                <w:color w:val="auto"/>
                <w:sz w:val="24"/>
                <w:szCs w:val="24"/>
              </w:rPr>
              <w:t>实际完成治理任务与自治区总治理任务的占比大于8%的得5分，6%（含）</w:t>
            </w:r>
            <w:r>
              <w:rPr>
                <w:rFonts w:hint="eastAsia" w:ascii="仿宋_GB2312" w:hAnsi="仿宋" w:eastAsia="仿宋_GB2312"/>
                <w:color w:val="auto"/>
                <w:sz w:val="24"/>
                <w:szCs w:val="24"/>
                <w:lang w:val="en-US" w:eastAsia="zh-CN"/>
              </w:rPr>
              <w:t>—</w:t>
            </w:r>
            <w:r>
              <w:rPr>
                <w:rFonts w:hint="eastAsia" w:ascii="仿宋_GB2312" w:hAnsi="仿宋" w:eastAsia="仿宋_GB2312"/>
                <w:color w:val="auto"/>
                <w:sz w:val="24"/>
                <w:szCs w:val="24"/>
              </w:rPr>
              <w:t>8%之间得4分，4%（含）</w:t>
            </w:r>
            <w:r>
              <w:rPr>
                <w:rFonts w:hint="eastAsia" w:ascii="仿宋_GB2312" w:hAnsi="仿宋" w:eastAsia="仿宋_GB2312"/>
                <w:color w:val="auto"/>
                <w:sz w:val="24"/>
                <w:szCs w:val="24"/>
                <w:lang w:val="en-US" w:eastAsia="zh-CN"/>
              </w:rPr>
              <w:t>—</w:t>
            </w:r>
            <w:r>
              <w:rPr>
                <w:rFonts w:hint="eastAsia" w:ascii="仿宋_GB2312" w:hAnsi="仿宋" w:eastAsia="仿宋_GB2312"/>
                <w:color w:val="auto"/>
                <w:sz w:val="24"/>
                <w:szCs w:val="24"/>
              </w:rPr>
              <w:t>6%之间得3分，4%以下得2分。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Ex>
        <w:trPr>
          <w:trHeight w:val="1504" w:hRule="atLeast"/>
          <w:jc w:val="center"/>
        </w:trPr>
        <w:tc>
          <w:tcPr>
            <w:tcW w:w="1060" w:type="dxa"/>
            <w:vMerge w:val="continue"/>
            <w:noWrap w:val="0"/>
            <w:vAlign w:val="center"/>
          </w:tcPr>
          <w:p>
            <w:pPr>
              <w:jc w:val="center"/>
              <w:rPr>
                <w:rFonts w:hint="eastAsia" w:ascii="仿宋_GB2312" w:hAnsi="仿宋" w:eastAsia="仿宋_GB2312"/>
                <w:b/>
                <w:bCs/>
                <w:sz w:val="24"/>
                <w:szCs w:val="24"/>
              </w:rPr>
            </w:pPr>
          </w:p>
        </w:tc>
        <w:tc>
          <w:tcPr>
            <w:tcW w:w="428" w:type="dxa"/>
            <w:vMerge w:val="continue"/>
            <w:noWrap w:val="0"/>
            <w:vAlign w:val="center"/>
          </w:tcPr>
          <w:p>
            <w:pPr>
              <w:jc w:val="center"/>
              <w:rPr>
                <w:rFonts w:hint="eastAsia" w:ascii="仿宋_GB2312" w:hAnsi="仿宋" w:eastAsia="仿宋_GB2312"/>
                <w:sz w:val="24"/>
                <w:szCs w:val="24"/>
              </w:rPr>
            </w:pPr>
          </w:p>
        </w:tc>
        <w:tc>
          <w:tcPr>
            <w:tcW w:w="1116" w:type="dxa"/>
            <w:vMerge w:val="continue"/>
            <w:noWrap w:val="0"/>
            <w:vAlign w:val="center"/>
          </w:tcPr>
          <w:p>
            <w:pPr>
              <w:jc w:val="center"/>
              <w:rPr>
                <w:rFonts w:hint="eastAsia" w:ascii="仿宋_GB2312" w:hAnsi="仿宋" w:eastAsia="仿宋_GB2312"/>
                <w:sz w:val="24"/>
                <w:szCs w:val="24"/>
              </w:rPr>
            </w:pPr>
          </w:p>
        </w:tc>
        <w:tc>
          <w:tcPr>
            <w:tcW w:w="1356"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统计调度</w:t>
            </w:r>
          </w:p>
          <w:p>
            <w:pPr>
              <w:jc w:val="center"/>
              <w:rPr>
                <w:rFonts w:hint="eastAsia" w:ascii="仿宋_GB2312" w:hAnsi="仿宋" w:eastAsia="仿宋_GB2312"/>
                <w:sz w:val="24"/>
                <w:szCs w:val="24"/>
              </w:rPr>
            </w:pPr>
            <w:r>
              <w:rPr>
                <w:rFonts w:hint="eastAsia" w:ascii="仿宋_GB2312" w:hAnsi="仿宋" w:eastAsia="仿宋_GB2312"/>
                <w:sz w:val="24"/>
                <w:szCs w:val="24"/>
              </w:rPr>
              <w:t>（3分）</w:t>
            </w:r>
          </w:p>
        </w:tc>
        <w:tc>
          <w:tcPr>
            <w:tcW w:w="4589" w:type="dxa"/>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治理任务按月调度要求按时上报的得2分，未按时上报的每次扣0</w:t>
            </w:r>
            <w:r>
              <w:rPr>
                <w:rFonts w:ascii="仿宋_GB2312" w:hAnsi="仿宋" w:eastAsia="仿宋_GB2312"/>
                <w:sz w:val="24"/>
                <w:szCs w:val="24"/>
              </w:rPr>
              <w:t>.</w:t>
            </w:r>
            <w:r>
              <w:rPr>
                <w:rFonts w:hint="eastAsia" w:ascii="仿宋_GB2312" w:hAnsi="仿宋" w:eastAsia="仿宋_GB2312"/>
                <w:sz w:val="24"/>
                <w:szCs w:val="24"/>
              </w:rPr>
              <w:t>2分，扣完为止。</w:t>
            </w:r>
          </w:p>
          <w:p>
            <w:pPr>
              <w:jc w:val="left"/>
              <w:rPr>
                <w:rFonts w:hint="eastAsia" w:ascii="仿宋_GB2312" w:hAnsi="仿宋" w:eastAsia="仿宋_GB2312"/>
                <w:sz w:val="24"/>
                <w:szCs w:val="24"/>
              </w:rPr>
            </w:pPr>
            <w:r>
              <w:rPr>
                <w:rFonts w:hint="eastAsia" w:ascii="仿宋_GB2312" w:hAnsi="仿宋" w:eastAsia="仿宋_GB2312"/>
                <w:sz w:val="24"/>
                <w:szCs w:val="24"/>
              </w:rPr>
              <w:t>年度治理任务统计成果按时上报的得1分，未按时上报的不得分。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Ex>
        <w:trPr>
          <w:trHeight w:val="779" w:hRule="atLeast"/>
          <w:jc w:val="center"/>
        </w:trPr>
        <w:tc>
          <w:tcPr>
            <w:tcW w:w="1060" w:type="dxa"/>
            <w:vMerge w:val="continue"/>
            <w:noWrap w:val="0"/>
            <w:vAlign w:val="center"/>
          </w:tcPr>
          <w:p>
            <w:pPr>
              <w:jc w:val="center"/>
              <w:rPr>
                <w:rFonts w:hint="eastAsia" w:ascii="仿宋_GB2312" w:hAnsi="仿宋" w:eastAsia="仿宋_GB2312"/>
                <w:b/>
                <w:bCs/>
                <w:sz w:val="24"/>
                <w:szCs w:val="24"/>
              </w:rPr>
            </w:pPr>
          </w:p>
        </w:tc>
        <w:tc>
          <w:tcPr>
            <w:tcW w:w="428" w:type="dxa"/>
            <w:vMerge w:val="continue"/>
            <w:noWrap w:val="0"/>
            <w:vAlign w:val="center"/>
          </w:tcPr>
          <w:p>
            <w:pPr>
              <w:jc w:val="center"/>
              <w:rPr>
                <w:rFonts w:hint="eastAsia" w:ascii="仿宋_GB2312" w:hAnsi="仿宋" w:eastAsia="仿宋_GB2312"/>
                <w:sz w:val="24"/>
                <w:szCs w:val="24"/>
              </w:rPr>
            </w:pPr>
          </w:p>
        </w:tc>
        <w:tc>
          <w:tcPr>
            <w:tcW w:w="1116" w:type="dxa"/>
            <w:vMerge w:val="continue"/>
            <w:noWrap w:val="0"/>
            <w:vAlign w:val="center"/>
          </w:tcPr>
          <w:p>
            <w:pPr>
              <w:jc w:val="center"/>
              <w:rPr>
                <w:rFonts w:hint="eastAsia" w:ascii="仿宋_GB2312" w:hAnsi="仿宋" w:eastAsia="仿宋_GB2312"/>
                <w:sz w:val="24"/>
                <w:szCs w:val="24"/>
              </w:rPr>
            </w:pPr>
          </w:p>
        </w:tc>
        <w:tc>
          <w:tcPr>
            <w:tcW w:w="1356"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措施图斑落实（</w:t>
            </w:r>
            <w:r>
              <w:rPr>
                <w:rFonts w:ascii="仿宋_GB2312" w:hAnsi="仿宋" w:eastAsia="仿宋_GB2312"/>
                <w:sz w:val="24"/>
                <w:szCs w:val="24"/>
              </w:rPr>
              <w:t>5</w:t>
            </w:r>
            <w:r>
              <w:rPr>
                <w:rFonts w:hint="eastAsia" w:ascii="仿宋_GB2312" w:hAnsi="仿宋" w:eastAsia="仿宋_GB2312"/>
                <w:sz w:val="24"/>
                <w:szCs w:val="24"/>
              </w:rPr>
              <w:t>分）</w:t>
            </w:r>
          </w:p>
        </w:tc>
        <w:tc>
          <w:tcPr>
            <w:tcW w:w="4589" w:type="dxa"/>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按考核要求上报治理措施图斑数据信息的得3分，未按考核要求上报的不得分。</w:t>
            </w:r>
          </w:p>
          <w:p>
            <w:pPr>
              <w:jc w:val="left"/>
              <w:rPr>
                <w:rFonts w:hint="eastAsia" w:ascii="仿宋_GB2312" w:hAnsi="仿宋" w:eastAsia="仿宋_GB2312"/>
                <w:sz w:val="24"/>
                <w:szCs w:val="24"/>
              </w:rPr>
            </w:pPr>
            <w:r>
              <w:rPr>
                <w:rFonts w:hint="eastAsia" w:ascii="仿宋_GB2312" w:hAnsi="仿宋" w:eastAsia="仿宋_GB2312"/>
                <w:sz w:val="24"/>
                <w:szCs w:val="24"/>
              </w:rPr>
              <w:t>实施措施图斑与实地相符的得2分，抽查发现与实地不符的不得分。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Ex>
        <w:trPr>
          <w:trHeight w:val="1445" w:hRule="atLeast"/>
          <w:jc w:val="center"/>
        </w:trPr>
        <w:tc>
          <w:tcPr>
            <w:tcW w:w="1060" w:type="dxa"/>
            <w:vMerge w:val="continue"/>
            <w:noWrap w:val="0"/>
            <w:vAlign w:val="center"/>
          </w:tcPr>
          <w:p>
            <w:pPr>
              <w:jc w:val="center"/>
              <w:rPr>
                <w:rFonts w:hint="eastAsia" w:ascii="仿宋_GB2312" w:hAnsi="仿宋" w:eastAsia="仿宋_GB2312"/>
                <w:b/>
                <w:bCs/>
                <w:sz w:val="24"/>
                <w:szCs w:val="24"/>
              </w:rPr>
            </w:pPr>
          </w:p>
        </w:tc>
        <w:tc>
          <w:tcPr>
            <w:tcW w:w="428" w:type="dxa"/>
            <w:vMerge w:val="restart"/>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7</w:t>
            </w:r>
          </w:p>
        </w:tc>
        <w:tc>
          <w:tcPr>
            <w:tcW w:w="1116" w:type="dxa"/>
            <w:vMerge w:val="restart"/>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水土保持重点工程实施情况（5分）</w:t>
            </w:r>
          </w:p>
        </w:tc>
        <w:tc>
          <w:tcPr>
            <w:tcW w:w="1356"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前期工作（1.5分）</w:t>
            </w:r>
          </w:p>
        </w:tc>
        <w:tc>
          <w:tcPr>
            <w:tcW w:w="4589" w:type="dxa"/>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国家水土保持重点工程项目初步设计（实施方案）批复率（截止当年5月31日）等于100%的，得 1.5分；小于100%的，按批复率乘以1.5分计算得分。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Ex>
        <w:trPr>
          <w:trHeight w:val="1496" w:hRule="atLeast"/>
          <w:jc w:val="center"/>
        </w:trPr>
        <w:tc>
          <w:tcPr>
            <w:tcW w:w="1060" w:type="dxa"/>
            <w:vMerge w:val="continue"/>
            <w:noWrap w:val="0"/>
            <w:vAlign w:val="center"/>
          </w:tcPr>
          <w:p>
            <w:pPr>
              <w:jc w:val="center"/>
              <w:rPr>
                <w:rFonts w:hint="eastAsia" w:ascii="仿宋_GB2312" w:hAnsi="仿宋" w:eastAsia="仿宋_GB2312"/>
                <w:b/>
                <w:bCs/>
                <w:sz w:val="24"/>
                <w:szCs w:val="24"/>
              </w:rPr>
            </w:pPr>
          </w:p>
        </w:tc>
        <w:tc>
          <w:tcPr>
            <w:tcW w:w="428" w:type="dxa"/>
            <w:vMerge w:val="continue"/>
            <w:noWrap w:val="0"/>
            <w:vAlign w:val="center"/>
          </w:tcPr>
          <w:p>
            <w:pPr>
              <w:jc w:val="center"/>
              <w:rPr>
                <w:rFonts w:hint="eastAsia" w:ascii="仿宋_GB2312" w:hAnsi="仿宋" w:eastAsia="仿宋_GB2312"/>
                <w:b/>
                <w:sz w:val="24"/>
                <w:szCs w:val="24"/>
              </w:rPr>
            </w:pPr>
          </w:p>
        </w:tc>
        <w:tc>
          <w:tcPr>
            <w:tcW w:w="1116" w:type="dxa"/>
            <w:vMerge w:val="continue"/>
            <w:noWrap w:val="0"/>
            <w:vAlign w:val="center"/>
          </w:tcPr>
          <w:p>
            <w:pPr>
              <w:jc w:val="center"/>
              <w:rPr>
                <w:rFonts w:hint="eastAsia" w:ascii="仿宋_GB2312" w:hAnsi="仿宋" w:eastAsia="仿宋_GB2312"/>
                <w:sz w:val="24"/>
                <w:szCs w:val="24"/>
              </w:rPr>
            </w:pPr>
          </w:p>
        </w:tc>
        <w:tc>
          <w:tcPr>
            <w:tcW w:w="1356"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建设任务</w:t>
            </w:r>
          </w:p>
          <w:p>
            <w:pPr>
              <w:jc w:val="center"/>
              <w:rPr>
                <w:rFonts w:hint="eastAsia" w:ascii="仿宋_GB2312" w:hAnsi="仿宋" w:eastAsia="仿宋_GB2312"/>
                <w:sz w:val="24"/>
                <w:szCs w:val="24"/>
              </w:rPr>
            </w:pPr>
            <w:r>
              <w:rPr>
                <w:rFonts w:hint="eastAsia" w:ascii="仿宋_GB2312" w:hAnsi="仿宋" w:eastAsia="仿宋_GB2312"/>
                <w:sz w:val="24"/>
                <w:szCs w:val="24"/>
              </w:rPr>
              <w:t>完成情况</w:t>
            </w:r>
          </w:p>
          <w:p>
            <w:pPr>
              <w:jc w:val="center"/>
              <w:rPr>
                <w:rFonts w:hint="eastAsia" w:ascii="仿宋_GB2312" w:hAnsi="仿宋" w:eastAsia="仿宋_GB2312"/>
                <w:sz w:val="24"/>
                <w:szCs w:val="24"/>
              </w:rPr>
            </w:pPr>
            <w:r>
              <w:rPr>
                <w:rFonts w:hint="eastAsia" w:ascii="仿宋_GB2312" w:hAnsi="仿宋" w:eastAsia="仿宋_GB2312"/>
                <w:sz w:val="24"/>
                <w:szCs w:val="24"/>
              </w:rPr>
              <w:t>（2分）</w:t>
            </w:r>
          </w:p>
        </w:tc>
        <w:tc>
          <w:tcPr>
            <w:tcW w:w="4589" w:type="dxa"/>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各类国家水土保持重点工程治理任务完成率大于等于100%的，得2分；80%（含）</w:t>
            </w:r>
            <w:r>
              <w:rPr>
                <w:rFonts w:hint="eastAsia" w:ascii="仿宋_GB2312" w:hAnsi="仿宋" w:eastAsia="仿宋_GB2312"/>
                <w:color w:val="auto"/>
                <w:sz w:val="24"/>
                <w:szCs w:val="24"/>
                <w:lang w:val="en-US" w:eastAsia="zh-CN"/>
              </w:rPr>
              <w:t>—</w:t>
            </w:r>
            <w:r>
              <w:rPr>
                <w:rFonts w:hint="eastAsia" w:ascii="仿宋_GB2312" w:hAnsi="仿宋" w:eastAsia="仿宋_GB2312"/>
                <w:sz w:val="24"/>
                <w:szCs w:val="24"/>
              </w:rPr>
              <w:t>100%之间的，按完成率乘以2分计算得分；80%以下的不得分。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Ex>
        <w:trPr>
          <w:trHeight w:val="1503" w:hRule="atLeast"/>
          <w:jc w:val="center"/>
        </w:trPr>
        <w:tc>
          <w:tcPr>
            <w:tcW w:w="1060" w:type="dxa"/>
            <w:vMerge w:val="continue"/>
            <w:noWrap w:val="0"/>
            <w:vAlign w:val="center"/>
          </w:tcPr>
          <w:p>
            <w:pPr>
              <w:jc w:val="center"/>
              <w:rPr>
                <w:rFonts w:hint="eastAsia" w:ascii="仿宋_GB2312" w:hAnsi="仿宋" w:eastAsia="仿宋_GB2312"/>
                <w:b/>
                <w:bCs/>
                <w:sz w:val="24"/>
                <w:szCs w:val="24"/>
              </w:rPr>
            </w:pPr>
          </w:p>
        </w:tc>
        <w:tc>
          <w:tcPr>
            <w:tcW w:w="428" w:type="dxa"/>
            <w:vMerge w:val="continue"/>
            <w:noWrap w:val="0"/>
            <w:vAlign w:val="center"/>
          </w:tcPr>
          <w:p>
            <w:pPr>
              <w:jc w:val="center"/>
              <w:rPr>
                <w:rFonts w:hint="eastAsia" w:ascii="仿宋_GB2312" w:hAnsi="仿宋" w:eastAsia="仿宋_GB2312"/>
                <w:b/>
                <w:sz w:val="24"/>
                <w:szCs w:val="24"/>
              </w:rPr>
            </w:pPr>
          </w:p>
        </w:tc>
        <w:tc>
          <w:tcPr>
            <w:tcW w:w="1116" w:type="dxa"/>
            <w:vMerge w:val="continue"/>
            <w:noWrap w:val="0"/>
            <w:vAlign w:val="center"/>
          </w:tcPr>
          <w:p>
            <w:pPr>
              <w:jc w:val="center"/>
              <w:rPr>
                <w:rFonts w:hint="eastAsia" w:ascii="仿宋_GB2312" w:hAnsi="仿宋" w:eastAsia="仿宋_GB2312"/>
                <w:sz w:val="24"/>
                <w:szCs w:val="24"/>
              </w:rPr>
            </w:pPr>
          </w:p>
        </w:tc>
        <w:tc>
          <w:tcPr>
            <w:tcW w:w="1356"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竣工验收</w:t>
            </w:r>
          </w:p>
          <w:p>
            <w:pPr>
              <w:jc w:val="center"/>
              <w:rPr>
                <w:rFonts w:hint="eastAsia" w:ascii="仿宋_GB2312" w:hAnsi="仿宋" w:eastAsia="仿宋_GB2312"/>
                <w:sz w:val="24"/>
                <w:szCs w:val="24"/>
              </w:rPr>
            </w:pPr>
            <w:r>
              <w:rPr>
                <w:rFonts w:hint="eastAsia" w:ascii="仿宋_GB2312" w:hAnsi="仿宋" w:eastAsia="仿宋_GB2312"/>
                <w:sz w:val="24"/>
                <w:szCs w:val="24"/>
              </w:rPr>
              <w:t>情况</w:t>
            </w:r>
          </w:p>
          <w:p>
            <w:pPr>
              <w:jc w:val="center"/>
              <w:rPr>
                <w:rFonts w:hint="eastAsia" w:ascii="仿宋_GB2312" w:hAnsi="仿宋" w:eastAsia="仿宋_GB2312"/>
                <w:sz w:val="24"/>
                <w:szCs w:val="24"/>
              </w:rPr>
            </w:pPr>
            <w:r>
              <w:rPr>
                <w:rFonts w:hint="eastAsia" w:ascii="仿宋_GB2312" w:hAnsi="仿宋" w:eastAsia="仿宋_GB2312"/>
                <w:sz w:val="24"/>
                <w:szCs w:val="24"/>
              </w:rPr>
              <w:t>（1.5分）</w:t>
            </w:r>
          </w:p>
        </w:tc>
        <w:tc>
          <w:tcPr>
            <w:tcW w:w="4589" w:type="dxa"/>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上年度实施国家水土保持重点工程竣工验收率（截止当年12月31日）等于100%的，得1.5分；小于100%的，按竣工验收率乘以1.5分计算得分。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Ex>
        <w:trPr>
          <w:trHeight w:val="1200" w:hRule="atLeast"/>
          <w:jc w:val="center"/>
        </w:trPr>
        <w:tc>
          <w:tcPr>
            <w:tcW w:w="1060" w:type="dxa"/>
            <w:vMerge w:val="continue"/>
            <w:noWrap w:val="0"/>
            <w:vAlign w:val="center"/>
          </w:tcPr>
          <w:p>
            <w:pPr>
              <w:jc w:val="center"/>
              <w:rPr>
                <w:rFonts w:hint="eastAsia" w:ascii="仿宋_GB2312" w:hAnsi="仿宋" w:eastAsia="仿宋_GB2312"/>
                <w:b/>
                <w:bCs/>
                <w:sz w:val="24"/>
                <w:szCs w:val="24"/>
              </w:rPr>
            </w:pPr>
          </w:p>
        </w:tc>
        <w:tc>
          <w:tcPr>
            <w:tcW w:w="428" w:type="dxa"/>
            <w:vMerge w:val="restart"/>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8</w:t>
            </w:r>
          </w:p>
        </w:tc>
        <w:tc>
          <w:tcPr>
            <w:tcW w:w="1116" w:type="dxa"/>
            <w:vMerge w:val="restart"/>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水土保持重点工程质量效益情况（5分）</w:t>
            </w:r>
          </w:p>
        </w:tc>
        <w:tc>
          <w:tcPr>
            <w:tcW w:w="1356"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工程质量</w:t>
            </w:r>
          </w:p>
          <w:p>
            <w:pPr>
              <w:jc w:val="center"/>
              <w:rPr>
                <w:rFonts w:hint="eastAsia" w:ascii="仿宋_GB2312" w:hAnsi="仿宋" w:eastAsia="仿宋_GB2312"/>
                <w:sz w:val="24"/>
                <w:szCs w:val="24"/>
              </w:rPr>
            </w:pPr>
            <w:r>
              <w:rPr>
                <w:rFonts w:hint="eastAsia" w:ascii="仿宋_GB2312" w:hAnsi="仿宋" w:eastAsia="仿宋_GB2312"/>
                <w:sz w:val="24"/>
                <w:szCs w:val="24"/>
              </w:rPr>
              <w:t>（3分）</w:t>
            </w:r>
          </w:p>
        </w:tc>
        <w:tc>
          <w:tcPr>
            <w:tcW w:w="4589" w:type="dxa"/>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根据</w:t>
            </w:r>
            <w:r>
              <w:rPr>
                <w:rFonts w:hint="eastAsia" w:ascii="仿宋_GB2312" w:hAnsi="仿宋" w:eastAsia="仿宋_GB2312"/>
                <w:sz w:val="24"/>
                <w:szCs w:val="24"/>
                <w:lang w:eastAsia="zh-CN"/>
              </w:rPr>
              <w:t>上级对</w:t>
            </w:r>
            <w:r>
              <w:rPr>
                <w:rFonts w:hint="eastAsia" w:ascii="仿宋_GB2312" w:hAnsi="仿宋" w:eastAsia="仿宋_GB2312"/>
                <w:sz w:val="24"/>
                <w:szCs w:val="24"/>
              </w:rPr>
              <w:t>国家水土保持重点工程质量督查结果及整改情况等赋分，对存在问题未整改完成的发现一项扣0.</w:t>
            </w:r>
            <w:r>
              <w:rPr>
                <w:rFonts w:ascii="仿宋_GB2312" w:hAnsi="仿宋" w:eastAsia="仿宋_GB2312"/>
                <w:sz w:val="24"/>
                <w:szCs w:val="24"/>
              </w:rPr>
              <w:t>5</w:t>
            </w:r>
            <w:r>
              <w:rPr>
                <w:rFonts w:hint="eastAsia" w:ascii="仿宋_GB2312" w:hAnsi="仿宋" w:eastAsia="仿宋_GB2312"/>
                <w:sz w:val="24"/>
                <w:szCs w:val="24"/>
              </w:rPr>
              <w:t>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Ex>
        <w:trPr>
          <w:trHeight w:val="1218" w:hRule="atLeast"/>
          <w:jc w:val="center"/>
        </w:trPr>
        <w:tc>
          <w:tcPr>
            <w:tcW w:w="1060" w:type="dxa"/>
            <w:vMerge w:val="continue"/>
            <w:noWrap w:val="0"/>
            <w:vAlign w:val="center"/>
          </w:tcPr>
          <w:p>
            <w:pPr>
              <w:jc w:val="center"/>
              <w:rPr>
                <w:rFonts w:hint="eastAsia" w:ascii="仿宋_GB2312" w:hAnsi="仿宋" w:eastAsia="仿宋_GB2312"/>
                <w:b/>
                <w:bCs/>
                <w:sz w:val="24"/>
                <w:szCs w:val="24"/>
              </w:rPr>
            </w:pPr>
          </w:p>
        </w:tc>
        <w:tc>
          <w:tcPr>
            <w:tcW w:w="428" w:type="dxa"/>
            <w:vMerge w:val="continue"/>
            <w:noWrap w:val="0"/>
            <w:vAlign w:val="center"/>
          </w:tcPr>
          <w:p>
            <w:pPr>
              <w:jc w:val="center"/>
              <w:rPr>
                <w:rFonts w:hint="eastAsia" w:ascii="仿宋_GB2312" w:hAnsi="仿宋" w:eastAsia="仿宋_GB2312"/>
                <w:b/>
                <w:sz w:val="24"/>
                <w:szCs w:val="24"/>
              </w:rPr>
            </w:pPr>
          </w:p>
        </w:tc>
        <w:tc>
          <w:tcPr>
            <w:tcW w:w="1116" w:type="dxa"/>
            <w:vMerge w:val="continue"/>
            <w:noWrap w:val="0"/>
            <w:vAlign w:val="center"/>
          </w:tcPr>
          <w:p>
            <w:pPr>
              <w:jc w:val="center"/>
              <w:rPr>
                <w:rFonts w:hint="eastAsia" w:ascii="仿宋_GB2312" w:hAnsi="仿宋" w:eastAsia="仿宋_GB2312"/>
                <w:sz w:val="24"/>
                <w:szCs w:val="24"/>
              </w:rPr>
            </w:pPr>
          </w:p>
        </w:tc>
        <w:tc>
          <w:tcPr>
            <w:tcW w:w="1356"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工程效益</w:t>
            </w:r>
          </w:p>
          <w:p>
            <w:pPr>
              <w:jc w:val="center"/>
              <w:rPr>
                <w:rFonts w:hint="eastAsia" w:ascii="仿宋_GB2312" w:hAnsi="仿宋" w:eastAsia="仿宋_GB2312"/>
                <w:sz w:val="24"/>
                <w:szCs w:val="24"/>
              </w:rPr>
            </w:pPr>
            <w:r>
              <w:rPr>
                <w:rFonts w:hint="eastAsia" w:ascii="仿宋_GB2312" w:hAnsi="仿宋" w:eastAsia="仿宋_GB2312"/>
                <w:sz w:val="24"/>
                <w:szCs w:val="24"/>
              </w:rPr>
              <w:t>（2分）</w:t>
            </w:r>
          </w:p>
        </w:tc>
        <w:tc>
          <w:tcPr>
            <w:tcW w:w="4589" w:type="dxa"/>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根据当年国家水土保持重点工程实施区域群众满意度调查情况扣分，对不满意项，每个扣0</w:t>
            </w:r>
            <w:r>
              <w:rPr>
                <w:rFonts w:ascii="仿宋_GB2312" w:hAnsi="仿宋" w:eastAsia="仿宋_GB2312"/>
                <w:sz w:val="24"/>
                <w:szCs w:val="24"/>
              </w:rPr>
              <w:t>.5</w:t>
            </w:r>
            <w:r>
              <w:rPr>
                <w:rFonts w:hint="eastAsia" w:ascii="仿宋_GB2312" w:hAnsi="仿宋" w:eastAsia="仿宋_GB2312"/>
                <w:sz w:val="24"/>
                <w:szCs w:val="24"/>
              </w:rPr>
              <w:t>分，扣完2分为止。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Ex>
        <w:trPr>
          <w:trHeight w:val="2004" w:hRule="atLeast"/>
          <w:jc w:val="center"/>
        </w:trPr>
        <w:tc>
          <w:tcPr>
            <w:tcW w:w="1060" w:type="dxa"/>
            <w:vMerge w:val="restart"/>
            <w:noWrap w:val="0"/>
            <w:vAlign w:val="center"/>
          </w:tcPr>
          <w:p>
            <w:pPr>
              <w:jc w:val="center"/>
              <w:rPr>
                <w:rFonts w:hint="eastAsia" w:ascii="仿宋_GB2312" w:hAnsi="仿宋" w:eastAsia="仿宋_GB2312"/>
                <w:b/>
                <w:bCs/>
                <w:sz w:val="24"/>
                <w:szCs w:val="24"/>
              </w:rPr>
            </w:pPr>
            <w:r>
              <w:rPr>
                <w:rFonts w:hint="eastAsia" w:ascii="仿宋_GB2312" w:hAnsi="仿宋" w:eastAsia="仿宋_GB2312"/>
                <w:b/>
                <w:bCs/>
                <w:sz w:val="24"/>
                <w:szCs w:val="24"/>
              </w:rPr>
              <w:t>预防</w:t>
            </w:r>
          </w:p>
          <w:p>
            <w:pPr>
              <w:jc w:val="center"/>
              <w:rPr>
                <w:rFonts w:hint="eastAsia" w:ascii="仿宋_GB2312" w:hAnsi="仿宋" w:eastAsia="仿宋_GB2312"/>
                <w:b/>
                <w:bCs/>
                <w:sz w:val="24"/>
                <w:szCs w:val="24"/>
              </w:rPr>
            </w:pPr>
            <w:r>
              <w:rPr>
                <w:rFonts w:hint="eastAsia" w:ascii="仿宋_GB2312" w:hAnsi="仿宋" w:eastAsia="仿宋_GB2312"/>
                <w:b/>
                <w:bCs/>
                <w:sz w:val="24"/>
                <w:szCs w:val="24"/>
              </w:rPr>
              <w:t>监管</w:t>
            </w:r>
          </w:p>
          <w:p>
            <w:pPr>
              <w:jc w:val="center"/>
              <w:rPr>
                <w:rFonts w:hint="eastAsia" w:ascii="仿宋_GB2312" w:hAnsi="Times New Roman" w:eastAsia="仿宋_GB2312"/>
                <w:b/>
                <w:bCs/>
                <w:sz w:val="24"/>
                <w:szCs w:val="24"/>
              </w:rPr>
            </w:pPr>
            <w:r>
              <w:rPr>
                <w:rFonts w:hint="eastAsia" w:ascii="仿宋_GB2312" w:hAnsi="仿宋" w:eastAsia="仿宋_GB2312"/>
                <w:b/>
                <w:bCs/>
                <w:sz w:val="24"/>
                <w:szCs w:val="24"/>
              </w:rPr>
              <w:t>（25分）</w:t>
            </w:r>
          </w:p>
        </w:tc>
        <w:tc>
          <w:tcPr>
            <w:tcW w:w="428" w:type="dxa"/>
            <w:vMerge w:val="restart"/>
            <w:noWrap w:val="0"/>
            <w:vAlign w:val="center"/>
          </w:tcPr>
          <w:p>
            <w:pPr>
              <w:jc w:val="center"/>
              <w:rPr>
                <w:rFonts w:hint="eastAsia" w:ascii="仿宋_GB2312" w:hAnsi="Times New Roman" w:eastAsia="仿宋_GB2312"/>
                <w:b/>
                <w:sz w:val="24"/>
                <w:szCs w:val="24"/>
              </w:rPr>
            </w:pPr>
            <w:r>
              <w:rPr>
                <w:rFonts w:hint="eastAsia" w:ascii="仿宋_GB2312" w:hAnsi="Times New Roman" w:eastAsia="仿宋_GB2312"/>
                <w:b/>
                <w:sz w:val="24"/>
                <w:szCs w:val="24"/>
              </w:rPr>
              <w:t>9</w:t>
            </w:r>
          </w:p>
        </w:tc>
        <w:tc>
          <w:tcPr>
            <w:tcW w:w="1116" w:type="dxa"/>
            <w:vMerge w:val="restart"/>
            <w:tcBorders>
              <w:right w:val="single" w:color="auto" w:sz="4" w:space="0"/>
            </w:tcBorders>
            <w:noWrap w:val="0"/>
            <w:vAlign w:val="center"/>
          </w:tcPr>
          <w:p>
            <w:pPr>
              <w:jc w:val="center"/>
              <w:rPr>
                <w:rFonts w:hint="eastAsia" w:ascii="仿宋_GB2312" w:hAnsi="Times New Roman" w:eastAsia="仿宋_GB2312"/>
                <w:sz w:val="24"/>
                <w:szCs w:val="24"/>
              </w:rPr>
            </w:pPr>
            <w:r>
              <w:rPr>
                <w:rFonts w:hint="eastAsia" w:ascii="仿宋_GB2312" w:hAnsi="仿宋" w:eastAsia="仿宋_GB2312"/>
                <w:sz w:val="24"/>
                <w:szCs w:val="24"/>
              </w:rPr>
              <w:t>生产建设项目水土保持情况（25分）</w:t>
            </w:r>
          </w:p>
        </w:tc>
        <w:tc>
          <w:tcPr>
            <w:tcW w:w="1356" w:type="dxa"/>
            <w:tcBorders>
              <w:left w:val="single" w:color="auto" w:sz="4" w:space="0"/>
              <w:bottom w:val="single" w:color="auto" w:sz="4" w:space="0"/>
            </w:tcBorders>
            <w:noWrap w:val="0"/>
            <w:vAlign w:val="center"/>
          </w:tcPr>
          <w:p>
            <w:pPr>
              <w:jc w:val="center"/>
              <w:rPr>
                <w:rFonts w:hint="eastAsia" w:ascii="仿宋_GB2312" w:hAnsi="Times New Roman" w:eastAsia="仿宋_GB2312"/>
                <w:sz w:val="24"/>
                <w:szCs w:val="24"/>
              </w:rPr>
            </w:pPr>
            <w:r>
              <w:rPr>
                <w:rFonts w:hint="eastAsia" w:ascii="仿宋_GB2312" w:hAnsi="仿宋" w:eastAsia="仿宋_GB2312"/>
                <w:sz w:val="24"/>
                <w:szCs w:val="24"/>
              </w:rPr>
              <w:t>水土保持方案审批管理（5分）</w:t>
            </w:r>
          </w:p>
        </w:tc>
        <w:tc>
          <w:tcPr>
            <w:tcW w:w="4589" w:type="dxa"/>
            <w:tcBorders>
              <w:bottom w:val="single" w:color="auto" w:sz="4" w:space="0"/>
            </w:tcBorders>
            <w:noWrap w:val="0"/>
            <w:vAlign w:val="center"/>
          </w:tcPr>
          <w:p>
            <w:pPr>
              <w:jc w:val="left"/>
              <w:rPr>
                <w:rFonts w:hint="eastAsia" w:ascii="仿宋_GB2312" w:hAnsi="Times New Roman" w:eastAsia="仿宋_GB2312"/>
                <w:sz w:val="24"/>
                <w:szCs w:val="24"/>
              </w:rPr>
            </w:pPr>
            <w:r>
              <w:rPr>
                <w:rFonts w:hint="eastAsia" w:ascii="仿宋_GB2312" w:hAnsi="仿宋" w:eastAsia="仿宋_GB2312"/>
                <w:sz w:val="24"/>
                <w:szCs w:val="24"/>
              </w:rPr>
              <w:t>根据当年盟市级方案审批清单，审批按时限办结</w:t>
            </w:r>
            <w:r>
              <w:rPr>
                <w:rFonts w:hint="eastAsia" w:ascii="仿宋_GB2312" w:hAnsi="仿宋" w:eastAsia="仿宋_GB2312"/>
                <w:sz w:val="24"/>
                <w:szCs w:val="24"/>
                <w:lang w:eastAsia="zh-CN"/>
              </w:rPr>
              <w:t>得</w:t>
            </w:r>
            <w:r>
              <w:rPr>
                <w:rFonts w:hint="eastAsia" w:ascii="仿宋_GB2312" w:hAnsi="仿宋" w:eastAsia="仿宋_GB2312"/>
                <w:sz w:val="24"/>
                <w:szCs w:val="24"/>
              </w:rPr>
              <w:t>1分，每发现</w:t>
            </w:r>
            <w:r>
              <w:rPr>
                <w:rFonts w:hint="eastAsia" w:ascii="仿宋_GB2312" w:hAnsi="仿宋" w:eastAsia="仿宋_GB2312"/>
                <w:sz w:val="24"/>
                <w:szCs w:val="24"/>
                <w:lang w:eastAsia="zh-CN"/>
              </w:rPr>
              <w:t>一</w:t>
            </w:r>
            <w:r>
              <w:rPr>
                <w:rFonts w:hint="eastAsia" w:ascii="仿宋_GB2312" w:hAnsi="仿宋" w:eastAsia="仿宋_GB2312"/>
                <w:sz w:val="24"/>
                <w:szCs w:val="24"/>
              </w:rPr>
              <w:t>个项目存在超时限审批扣0.1分，扣完为止；审批信息及时公开</w:t>
            </w:r>
            <w:r>
              <w:rPr>
                <w:rFonts w:hint="eastAsia" w:ascii="仿宋_GB2312" w:hAnsi="仿宋" w:eastAsia="仿宋_GB2312"/>
                <w:sz w:val="24"/>
                <w:szCs w:val="24"/>
                <w:lang w:eastAsia="zh-CN"/>
              </w:rPr>
              <w:t>得</w:t>
            </w:r>
            <w:r>
              <w:rPr>
                <w:rFonts w:hint="eastAsia" w:ascii="仿宋_GB2312" w:hAnsi="仿宋" w:eastAsia="仿宋_GB2312"/>
                <w:sz w:val="24"/>
                <w:szCs w:val="24"/>
              </w:rPr>
              <w:t>1分，每发现未按规定公开一项扣0.1分，扣完为止；生产建设项目水土保持方案技术审查费用列入财政预算得3分，未列入不得分。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Ex>
        <w:trPr>
          <w:trHeight w:val="1687" w:hRule="atLeast"/>
          <w:jc w:val="center"/>
        </w:trPr>
        <w:tc>
          <w:tcPr>
            <w:tcW w:w="1060" w:type="dxa"/>
            <w:vMerge w:val="continue"/>
            <w:noWrap w:val="0"/>
            <w:vAlign w:val="center"/>
          </w:tcPr>
          <w:p>
            <w:pPr>
              <w:jc w:val="center"/>
              <w:rPr>
                <w:rFonts w:hint="eastAsia" w:ascii="仿宋_GB2312" w:hAnsi="仿宋" w:eastAsia="仿宋_GB2312"/>
                <w:b/>
                <w:bCs/>
                <w:color w:val="000000"/>
                <w:sz w:val="24"/>
                <w:szCs w:val="24"/>
              </w:rPr>
            </w:pPr>
          </w:p>
        </w:tc>
        <w:tc>
          <w:tcPr>
            <w:tcW w:w="428" w:type="dxa"/>
            <w:vMerge w:val="continue"/>
            <w:noWrap w:val="0"/>
            <w:vAlign w:val="center"/>
          </w:tcPr>
          <w:p>
            <w:pPr>
              <w:jc w:val="center"/>
              <w:rPr>
                <w:rFonts w:hint="eastAsia" w:ascii="仿宋_GB2312" w:hAnsi="Times New Roman" w:eastAsia="仿宋_GB2312"/>
                <w:sz w:val="24"/>
                <w:szCs w:val="24"/>
              </w:rPr>
            </w:pPr>
          </w:p>
        </w:tc>
        <w:tc>
          <w:tcPr>
            <w:tcW w:w="1116" w:type="dxa"/>
            <w:vMerge w:val="continue"/>
            <w:tcBorders>
              <w:right w:val="single" w:color="auto" w:sz="4" w:space="0"/>
            </w:tcBorders>
            <w:noWrap w:val="0"/>
            <w:vAlign w:val="center"/>
          </w:tcPr>
          <w:p>
            <w:pPr>
              <w:jc w:val="center"/>
              <w:rPr>
                <w:rFonts w:hint="eastAsia" w:ascii="仿宋_GB2312" w:hAnsi="仿宋" w:eastAsia="仿宋_GB2312"/>
                <w:sz w:val="24"/>
                <w:szCs w:val="24"/>
              </w:rPr>
            </w:pPr>
          </w:p>
        </w:tc>
        <w:tc>
          <w:tcPr>
            <w:tcW w:w="1356" w:type="dxa"/>
            <w:tcBorders>
              <w:top w:val="single" w:color="auto" w:sz="4" w:space="0"/>
              <w:left w:val="single" w:color="auto" w:sz="4" w:space="0"/>
              <w:bottom w:val="single" w:color="auto" w:sz="4" w:space="0"/>
            </w:tcBorders>
            <w:noWrap w:val="0"/>
            <w:vAlign w:val="center"/>
          </w:tcPr>
          <w:p>
            <w:pPr>
              <w:jc w:val="center"/>
              <w:rPr>
                <w:rFonts w:hint="eastAsia" w:ascii="仿宋_GB2312" w:hAnsi="Times New Roman" w:eastAsia="仿宋_GB2312"/>
                <w:sz w:val="24"/>
                <w:szCs w:val="24"/>
              </w:rPr>
            </w:pPr>
            <w:r>
              <w:rPr>
                <w:rFonts w:hint="eastAsia" w:ascii="仿宋_GB2312" w:hAnsi="仿宋" w:eastAsia="仿宋_GB2312"/>
                <w:sz w:val="24"/>
                <w:szCs w:val="24"/>
              </w:rPr>
              <w:t>水土保持监管（15分）</w:t>
            </w:r>
          </w:p>
        </w:tc>
        <w:tc>
          <w:tcPr>
            <w:tcW w:w="4589" w:type="dxa"/>
            <w:tcBorders>
              <w:top w:val="single" w:color="auto" w:sz="4" w:space="0"/>
              <w:bottom w:val="single" w:color="auto" w:sz="4" w:space="0"/>
            </w:tcBorders>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盟市级年度审批水土保持方案在建项目跟踪检查全覆盖的得2分，未全覆盖的不得分；现场检查比例大于等于10%</w:t>
            </w:r>
            <w:r>
              <w:rPr>
                <w:rFonts w:hint="eastAsia" w:ascii="仿宋_GB2312" w:hAnsi="仿宋" w:eastAsia="仿宋_GB2312"/>
                <w:sz w:val="24"/>
                <w:szCs w:val="24"/>
                <w:lang w:eastAsia="zh-CN"/>
              </w:rPr>
              <w:t>的</w:t>
            </w:r>
            <w:r>
              <w:rPr>
                <w:rFonts w:hint="eastAsia" w:ascii="仿宋_GB2312" w:hAnsi="仿宋" w:eastAsia="仿宋_GB2312"/>
                <w:sz w:val="24"/>
                <w:szCs w:val="24"/>
              </w:rPr>
              <w:t>得2分，低于10%或缺少现场检查记录表、监督检查意见等支撑材料的不得分。</w:t>
            </w:r>
          </w:p>
          <w:p>
            <w:pPr>
              <w:rPr>
                <w:rFonts w:hint="eastAsia" w:ascii="仿宋_GB2312" w:hAnsi="仿宋" w:eastAsia="仿宋_GB2312"/>
                <w:sz w:val="24"/>
                <w:szCs w:val="24"/>
              </w:rPr>
            </w:pPr>
            <w:r>
              <w:rPr>
                <w:rFonts w:hint="eastAsia" w:ascii="仿宋_GB2312" w:hAnsi="仿宋" w:eastAsia="仿宋_GB2312"/>
                <w:sz w:val="24"/>
                <w:szCs w:val="24"/>
              </w:rPr>
              <w:t>生产建设项目水土保持遥感监管现场核查、问题认定、违法违规行为查处和整改落实工作均按时完成的得8分；每阶段工作未按时完成的扣2分，扣完为止。</w:t>
            </w:r>
          </w:p>
          <w:p>
            <w:pPr>
              <w:rPr>
                <w:rFonts w:hint="eastAsia" w:ascii="仿宋_GB2312" w:hAnsi="仿宋" w:eastAsia="仿宋_GB2312"/>
                <w:sz w:val="24"/>
                <w:szCs w:val="24"/>
              </w:rPr>
            </w:pPr>
            <w:r>
              <w:rPr>
                <w:rFonts w:hint="eastAsia" w:ascii="仿宋_GB2312" w:hAnsi="仿宋" w:eastAsia="仿宋_GB2312"/>
                <w:sz w:val="24"/>
                <w:szCs w:val="24"/>
              </w:rPr>
              <w:t>水土保持</w:t>
            </w:r>
            <w:r>
              <w:rPr>
                <w:rFonts w:hint="eastAsia" w:ascii="仿宋_GB2312" w:hAnsi="仿宋" w:eastAsia="仿宋_GB2312"/>
                <w:sz w:val="24"/>
                <w:szCs w:val="24"/>
                <w:lang w:eastAsia="zh-CN"/>
              </w:rPr>
              <w:t>履职</w:t>
            </w:r>
            <w:r>
              <w:rPr>
                <w:rFonts w:hint="eastAsia" w:ascii="仿宋_GB2312" w:hAnsi="仿宋" w:eastAsia="仿宋_GB2312"/>
                <w:sz w:val="24"/>
                <w:szCs w:val="24"/>
              </w:rPr>
              <w:t>督查结果中提出的问题按要求全部整改完成的得3分；未整改完成的发现一项扣0.</w:t>
            </w:r>
            <w:r>
              <w:rPr>
                <w:rFonts w:ascii="仿宋_GB2312" w:hAnsi="仿宋" w:eastAsia="仿宋_GB2312"/>
                <w:sz w:val="24"/>
                <w:szCs w:val="24"/>
              </w:rPr>
              <w:t>5</w:t>
            </w:r>
            <w:r>
              <w:rPr>
                <w:rFonts w:hint="eastAsia" w:ascii="仿宋_GB2312" w:hAnsi="仿宋" w:eastAsia="仿宋_GB2312"/>
                <w:sz w:val="24"/>
                <w:szCs w:val="24"/>
              </w:rPr>
              <w:t>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Ex>
        <w:trPr>
          <w:trHeight w:val="987" w:hRule="atLeast"/>
          <w:jc w:val="center"/>
        </w:trPr>
        <w:tc>
          <w:tcPr>
            <w:tcW w:w="1060" w:type="dxa"/>
            <w:vMerge w:val="continue"/>
            <w:noWrap w:val="0"/>
            <w:vAlign w:val="center"/>
          </w:tcPr>
          <w:p>
            <w:pPr>
              <w:jc w:val="center"/>
              <w:rPr>
                <w:rFonts w:hint="eastAsia" w:ascii="仿宋_GB2312" w:hAnsi="仿宋" w:eastAsia="仿宋_GB2312"/>
                <w:b/>
                <w:bCs/>
                <w:color w:val="000000"/>
                <w:sz w:val="24"/>
                <w:szCs w:val="24"/>
              </w:rPr>
            </w:pPr>
          </w:p>
        </w:tc>
        <w:tc>
          <w:tcPr>
            <w:tcW w:w="428" w:type="dxa"/>
            <w:vMerge w:val="continue"/>
            <w:noWrap w:val="0"/>
            <w:vAlign w:val="center"/>
          </w:tcPr>
          <w:p>
            <w:pPr>
              <w:jc w:val="center"/>
              <w:rPr>
                <w:rFonts w:hint="eastAsia" w:ascii="仿宋_GB2312" w:hAnsi="Times New Roman" w:eastAsia="仿宋_GB2312"/>
                <w:sz w:val="24"/>
                <w:szCs w:val="24"/>
              </w:rPr>
            </w:pPr>
          </w:p>
        </w:tc>
        <w:tc>
          <w:tcPr>
            <w:tcW w:w="1116" w:type="dxa"/>
            <w:vMerge w:val="continue"/>
            <w:tcBorders>
              <w:right w:val="single" w:color="auto" w:sz="4" w:space="0"/>
            </w:tcBorders>
            <w:noWrap w:val="0"/>
            <w:vAlign w:val="center"/>
          </w:tcPr>
          <w:p>
            <w:pPr>
              <w:jc w:val="center"/>
              <w:rPr>
                <w:rFonts w:hint="eastAsia" w:ascii="仿宋_GB2312" w:hAnsi="仿宋" w:eastAsia="仿宋_GB2312"/>
                <w:sz w:val="24"/>
                <w:szCs w:val="24"/>
              </w:rPr>
            </w:pPr>
          </w:p>
        </w:tc>
        <w:tc>
          <w:tcPr>
            <w:tcW w:w="1356" w:type="dxa"/>
            <w:tcBorders>
              <w:top w:val="single" w:color="auto" w:sz="4" w:space="0"/>
              <w:left w:val="single" w:color="auto" w:sz="4" w:space="0"/>
              <w:bottom w:val="single" w:color="auto" w:sz="4" w:space="0"/>
            </w:tcBorders>
            <w:noWrap w:val="0"/>
            <w:vAlign w:val="center"/>
          </w:tcPr>
          <w:p>
            <w:pPr>
              <w:jc w:val="center"/>
              <w:rPr>
                <w:rFonts w:hint="eastAsia" w:ascii="仿宋_GB2312" w:hAnsi="Times New Roman" w:eastAsia="仿宋_GB2312"/>
                <w:sz w:val="24"/>
                <w:szCs w:val="24"/>
              </w:rPr>
            </w:pPr>
            <w:r>
              <w:rPr>
                <w:rFonts w:hint="eastAsia" w:ascii="仿宋_GB2312" w:hAnsi="仿宋" w:eastAsia="仿宋_GB2312"/>
                <w:sz w:val="24"/>
                <w:szCs w:val="24"/>
              </w:rPr>
              <w:t>水土保持设施验收管理（3分）</w:t>
            </w:r>
          </w:p>
        </w:tc>
        <w:tc>
          <w:tcPr>
            <w:tcW w:w="4589" w:type="dxa"/>
            <w:tcBorders>
              <w:top w:val="single" w:color="auto" w:sz="4" w:space="0"/>
              <w:bottom w:val="single" w:color="auto" w:sz="4" w:space="0"/>
            </w:tcBorders>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盟市级自主验收项目报备回执按时限出具，并按规定执行“双公开”得1分，发现</w:t>
            </w:r>
            <w:r>
              <w:rPr>
                <w:rFonts w:hint="eastAsia" w:ascii="仿宋_GB2312" w:hAnsi="仿宋" w:eastAsia="仿宋_GB2312"/>
                <w:sz w:val="24"/>
                <w:szCs w:val="24"/>
                <w:lang w:eastAsia="zh-CN"/>
              </w:rPr>
              <w:t>一</w:t>
            </w:r>
            <w:r>
              <w:rPr>
                <w:rFonts w:hint="eastAsia" w:ascii="仿宋_GB2312" w:hAnsi="仿宋" w:eastAsia="仿宋_GB2312"/>
                <w:sz w:val="24"/>
                <w:szCs w:val="24"/>
              </w:rPr>
              <w:t>个超时项目或未按规定公开扣0.1分，扣完为止；验收报备项目核查比例不低于10%得2分，核查比例低于10%不得分。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Ex>
        <w:trPr>
          <w:trHeight w:val="20" w:hRule="atLeast"/>
          <w:jc w:val="center"/>
        </w:trPr>
        <w:tc>
          <w:tcPr>
            <w:tcW w:w="1060" w:type="dxa"/>
            <w:vMerge w:val="continue"/>
            <w:noWrap w:val="0"/>
            <w:vAlign w:val="center"/>
          </w:tcPr>
          <w:p>
            <w:pPr>
              <w:jc w:val="center"/>
              <w:rPr>
                <w:rFonts w:hint="eastAsia" w:ascii="仿宋_GB2312" w:hAnsi="仿宋" w:eastAsia="仿宋_GB2312"/>
                <w:b/>
                <w:bCs/>
                <w:color w:val="000000"/>
                <w:sz w:val="24"/>
                <w:szCs w:val="24"/>
              </w:rPr>
            </w:pPr>
          </w:p>
        </w:tc>
        <w:tc>
          <w:tcPr>
            <w:tcW w:w="428" w:type="dxa"/>
            <w:vMerge w:val="continue"/>
            <w:noWrap w:val="0"/>
            <w:vAlign w:val="center"/>
          </w:tcPr>
          <w:p>
            <w:pPr>
              <w:jc w:val="center"/>
              <w:rPr>
                <w:rFonts w:hint="eastAsia" w:ascii="仿宋_GB2312" w:hAnsi="Times New Roman" w:eastAsia="仿宋_GB2312"/>
                <w:sz w:val="24"/>
                <w:szCs w:val="24"/>
              </w:rPr>
            </w:pPr>
          </w:p>
        </w:tc>
        <w:tc>
          <w:tcPr>
            <w:tcW w:w="1116" w:type="dxa"/>
            <w:vMerge w:val="continue"/>
            <w:tcBorders>
              <w:right w:val="single" w:color="auto" w:sz="4" w:space="0"/>
            </w:tcBorders>
            <w:noWrap w:val="0"/>
            <w:vAlign w:val="center"/>
          </w:tcPr>
          <w:p>
            <w:pPr>
              <w:jc w:val="center"/>
              <w:rPr>
                <w:rFonts w:hint="eastAsia" w:ascii="仿宋_GB2312" w:hAnsi="仿宋" w:eastAsia="仿宋_GB2312"/>
                <w:sz w:val="24"/>
                <w:szCs w:val="24"/>
              </w:rPr>
            </w:pPr>
          </w:p>
        </w:tc>
        <w:tc>
          <w:tcPr>
            <w:tcW w:w="1356" w:type="dxa"/>
            <w:tcBorders>
              <w:top w:val="single" w:color="auto" w:sz="4" w:space="0"/>
              <w:left w:val="single" w:color="auto" w:sz="4" w:space="0"/>
              <w:bottom w:val="single" w:color="auto" w:sz="4" w:space="0"/>
            </w:tcBorders>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水土保持补偿征收</w:t>
            </w:r>
          </w:p>
          <w:p>
            <w:pPr>
              <w:jc w:val="center"/>
              <w:rPr>
                <w:rFonts w:hint="eastAsia" w:ascii="仿宋_GB2312" w:hAnsi="Times New Roman" w:eastAsia="仿宋_GB2312"/>
                <w:sz w:val="24"/>
                <w:szCs w:val="24"/>
              </w:rPr>
            </w:pPr>
            <w:r>
              <w:rPr>
                <w:rFonts w:hint="eastAsia" w:ascii="仿宋_GB2312" w:hAnsi="仿宋" w:eastAsia="仿宋_GB2312"/>
                <w:sz w:val="24"/>
                <w:szCs w:val="24"/>
              </w:rPr>
              <w:t>（2分）</w:t>
            </w:r>
          </w:p>
        </w:tc>
        <w:tc>
          <w:tcPr>
            <w:tcW w:w="4589" w:type="dxa"/>
            <w:tcBorders>
              <w:top w:val="single" w:color="auto" w:sz="4" w:space="0"/>
              <w:bottom w:val="single" w:color="auto" w:sz="4" w:space="0"/>
            </w:tcBorders>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盟市级当年审批</w:t>
            </w:r>
            <w:r>
              <w:rPr>
                <w:rFonts w:hint="eastAsia" w:ascii="仿宋_GB2312" w:hAnsi="仿宋" w:eastAsia="仿宋_GB2312"/>
                <w:sz w:val="24"/>
                <w:szCs w:val="24"/>
                <w:lang w:eastAsia="zh-CN"/>
              </w:rPr>
              <w:t>水土保持方案的</w:t>
            </w:r>
            <w:r>
              <w:rPr>
                <w:rFonts w:hint="eastAsia" w:ascii="仿宋_GB2312" w:hAnsi="仿宋" w:eastAsia="仿宋_GB2312"/>
                <w:sz w:val="24"/>
                <w:szCs w:val="24"/>
              </w:rPr>
              <w:t>项目</w:t>
            </w:r>
            <w:r>
              <w:rPr>
                <w:rFonts w:hint="eastAsia" w:ascii="仿宋_GB2312" w:hAnsi="仿宋" w:eastAsia="仿宋_GB2312"/>
                <w:sz w:val="24"/>
                <w:szCs w:val="24"/>
                <w:lang w:eastAsia="zh-CN"/>
              </w:rPr>
              <w:t>，</w:t>
            </w:r>
            <w:r>
              <w:rPr>
                <w:rFonts w:hint="eastAsia" w:ascii="仿宋_GB2312" w:hAnsi="仿宋" w:eastAsia="仿宋_GB2312"/>
                <w:sz w:val="24"/>
                <w:szCs w:val="24"/>
              </w:rPr>
              <w:t>按规定及时收缴水土保持补偿费</w:t>
            </w:r>
            <w:r>
              <w:rPr>
                <w:rFonts w:hint="eastAsia" w:ascii="仿宋_GB2312" w:hAnsi="仿宋" w:eastAsia="仿宋_GB2312"/>
                <w:sz w:val="24"/>
                <w:szCs w:val="24"/>
                <w:lang w:eastAsia="zh-CN"/>
              </w:rPr>
              <w:t>的</w:t>
            </w:r>
            <w:r>
              <w:rPr>
                <w:rFonts w:hint="eastAsia" w:ascii="仿宋_GB2312" w:hAnsi="仿宋" w:eastAsia="仿宋_GB2312"/>
                <w:sz w:val="24"/>
                <w:szCs w:val="24"/>
              </w:rPr>
              <w:t>得2分，每发现一个项目未按规定收缴扣0.2分，扣完为止。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Ex>
        <w:trPr>
          <w:trHeight w:val="659" w:hRule="atLeast"/>
          <w:jc w:val="center"/>
        </w:trPr>
        <w:tc>
          <w:tcPr>
            <w:tcW w:w="1060" w:type="dxa"/>
            <w:vMerge w:val="restart"/>
            <w:noWrap w:val="0"/>
            <w:vAlign w:val="center"/>
          </w:tcPr>
          <w:p>
            <w:pPr>
              <w:jc w:val="center"/>
              <w:rPr>
                <w:rFonts w:hint="eastAsia" w:ascii="仿宋_GB2312" w:hAnsi="Times New Roman" w:eastAsia="仿宋_GB2312"/>
                <w:b/>
                <w:bCs/>
                <w:sz w:val="24"/>
                <w:szCs w:val="24"/>
              </w:rPr>
            </w:pPr>
            <w:r>
              <w:rPr>
                <w:rFonts w:hint="eastAsia" w:ascii="仿宋_GB2312" w:hAnsi="仿宋" w:eastAsia="仿宋_GB2312"/>
                <w:b/>
                <w:bCs/>
                <w:sz w:val="24"/>
                <w:szCs w:val="24"/>
              </w:rPr>
              <w:t>监测和信息化（15分）</w:t>
            </w:r>
          </w:p>
        </w:tc>
        <w:tc>
          <w:tcPr>
            <w:tcW w:w="428" w:type="dxa"/>
            <w:vMerge w:val="restart"/>
            <w:noWrap w:val="0"/>
            <w:vAlign w:val="center"/>
          </w:tcPr>
          <w:p>
            <w:pPr>
              <w:jc w:val="center"/>
              <w:rPr>
                <w:rFonts w:hint="eastAsia" w:ascii="仿宋_GB2312" w:hAnsi="Times New Roman" w:eastAsia="仿宋_GB2312"/>
                <w:b/>
                <w:sz w:val="24"/>
                <w:szCs w:val="24"/>
              </w:rPr>
            </w:pPr>
            <w:r>
              <w:rPr>
                <w:rFonts w:hint="eastAsia" w:ascii="仿宋_GB2312" w:hAnsi="Times New Roman" w:eastAsia="仿宋_GB2312"/>
                <w:b/>
                <w:sz w:val="24"/>
                <w:szCs w:val="24"/>
              </w:rPr>
              <w:t>10</w:t>
            </w:r>
          </w:p>
        </w:tc>
        <w:tc>
          <w:tcPr>
            <w:tcW w:w="1116" w:type="dxa"/>
            <w:vMerge w:val="restart"/>
            <w:noWrap w:val="0"/>
            <w:vAlign w:val="center"/>
          </w:tcPr>
          <w:p>
            <w:pPr>
              <w:jc w:val="center"/>
              <w:rPr>
                <w:rFonts w:hint="eastAsia" w:ascii="仿宋_GB2312" w:hAnsi="Times New Roman" w:eastAsia="仿宋_GB2312"/>
                <w:sz w:val="24"/>
                <w:szCs w:val="24"/>
              </w:rPr>
            </w:pPr>
            <w:r>
              <w:rPr>
                <w:rFonts w:hint="eastAsia" w:ascii="仿宋_GB2312" w:hAnsi="Times New Roman" w:eastAsia="仿宋_GB2312"/>
                <w:sz w:val="24"/>
                <w:szCs w:val="24"/>
              </w:rPr>
              <w:t>水土保持监测情况（6分）</w:t>
            </w:r>
          </w:p>
        </w:tc>
        <w:tc>
          <w:tcPr>
            <w:tcW w:w="1356" w:type="dxa"/>
            <w:noWrap w:val="0"/>
            <w:vAlign w:val="center"/>
          </w:tcPr>
          <w:p>
            <w:pPr>
              <w:jc w:val="center"/>
              <w:rPr>
                <w:rFonts w:hint="eastAsia" w:ascii="仿宋_GB2312" w:hAnsi="Times New Roman" w:eastAsia="仿宋_GB2312"/>
                <w:sz w:val="24"/>
                <w:szCs w:val="24"/>
              </w:rPr>
            </w:pPr>
            <w:r>
              <w:rPr>
                <w:rFonts w:hint="eastAsia" w:ascii="仿宋_GB2312" w:hAnsi="仿宋" w:eastAsia="仿宋_GB2312"/>
                <w:sz w:val="24"/>
                <w:szCs w:val="24"/>
              </w:rPr>
              <w:t>监测机构建设（1分）</w:t>
            </w:r>
          </w:p>
        </w:tc>
        <w:tc>
          <w:tcPr>
            <w:tcW w:w="4589" w:type="dxa"/>
            <w:noWrap w:val="0"/>
            <w:vAlign w:val="center"/>
          </w:tcPr>
          <w:p>
            <w:pPr>
              <w:jc w:val="left"/>
              <w:rPr>
                <w:rFonts w:hint="eastAsia" w:ascii="仿宋_GB2312" w:hAnsi="Times New Roman" w:eastAsia="仿宋_GB2312"/>
                <w:sz w:val="24"/>
                <w:szCs w:val="24"/>
              </w:rPr>
            </w:pPr>
            <w:r>
              <w:rPr>
                <w:rFonts w:hint="eastAsia" w:ascii="仿宋_GB2312" w:hAnsi="仿宋" w:eastAsia="仿宋_GB2312"/>
                <w:sz w:val="24"/>
                <w:szCs w:val="24"/>
              </w:rPr>
              <w:t>明确水土保持监测职责部门的得1分，未明确的不得分。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Ex>
        <w:trPr>
          <w:trHeight w:val="20" w:hRule="atLeast"/>
          <w:jc w:val="center"/>
        </w:trPr>
        <w:tc>
          <w:tcPr>
            <w:tcW w:w="1060" w:type="dxa"/>
            <w:vMerge w:val="continue"/>
            <w:noWrap w:val="0"/>
            <w:vAlign w:val="center"/>
          </w:tcPr>
          <w:p>
            <w:pPr>
              <w:jc w:val="center"/>
              <w:rPr>
                <w:rFonts w:hint="eastAsia" w:ascii="仿宋_GB2312" w:hAnsi="仿宋" w:eastAsia="仿宋_GB2312"/>
                <w:b/>
                <w:bCs/>
                <w:sz w:val="24"/>
                <w:szCs w:val="24"/>
              </w:rPr>
            </w:pPr>
          </w:p>
        </w:tc>
        <w:tc>
          <w:tcPr>
            <w:tcW w:w="428" w:type="dxa"/>
            <w:vMerge w:val="continue"/>
            <w:noWrap w:val="0"/>
            <w:vAlign w:val="center"/>
          </w:tcPr>
          <w:p>
            <w:pPr>
              <w:jc w:val="center"/>
              <w:rPr>
                <w:rFonts w:hint="eastAsia" w:ascii="仿宋_GB2312" w:hAnsi="Times New Roman" w:eastAsia="仿宋_GB2312"/>
                <w:b/>
                <w:sz w:val="24"/>
                <w:szCs w:val="24"/>
              </w:rPr>
            </w:pPr>
          </w:p>
        </w:tc>
        <w:tc>
          <w:tcPr>
            <w:tcW w:w="1116" w:type="dxa"/>
            <w:vMerge w:val="continue"/>
            <w:noWrap w:val="0"/>
            <w:vAlign w:val="center"/>
          </w:tcPr>
          <w:p>
            <w:pPr>
              <w:jc w:val="center"/>
              <w:rPr>
                <w:rFonts w:hint="eastAsia" w:ascii="仿宋_GB2312" w:hAnsi="Times New Roman" w:eastAsia="仿宋_GB2312"/>
                <w:sz w:val="24"/>
                <w:szCs w:val="24"/>
              </w:rPr>
            </w:pPr>
          </w:p>
        </w:tc>
        <w:tc>
          <w:tcPr>
            <w:tcW w:w="1356"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监测站点经费保障及运行情况</w:t>
            </w:r>
          </w:p>
          <w:p>
            <w:pPr>
              <w:jc w:val="center"/>
              <w:rPr>
                <w:rFonts w:hint="eastAsia" w:ascii="仿宋_GB2312" w:hAnsi="Times New Roman"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2</w:t>
            </w:r>
            <w:r>
              <w:rPr>
                <w:rFonts w:hint="eastAsia" w:ascii="仿宋_GB2312" w:hAnsi="仿宋" w:eastAsia="仿宋_GB2312"/>
                <w:sz w:val="24"/>
                <w:szCs w:val="24"/>
              </w:rPr>
              <w:t>分）</w:t>
            </w:r>
          </w:p>
        </w:tc>
        <w:tc>
          <w:tcPr>
            <w:tcW w:w="4589" w:type="dxa"/>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保障国家和自治区级监测站点运行维护经费的得1分，没有运行维护经费保障的不得分；运行正常得</w:t>
            </w:r>
            <w:r>
              <w:rPr>
                <w:rFonts w:ascii="仿宋_GB2312" w:hAnsi="仿宋" w:eastAsia="仿宋_GB2312"/>
                <w:sz w:val="24"/>
                <w:szCs w:val="24"/>
              </w:rPr>
              <w:t>1</w:t>
            </w:r>
            <w:r>
              <w:rPr>
                <w:rFonts w:hint="eastAsia" w:ascii="仿宋_GB2312" w:hAnsi="仿宋" w:eastAsia="仿宋_GB2312"/>
                <w:sz w:val="24"/>
                <w:szCs w:val="24"/>
              </w:rPr>
              <w:t>分，</w:t>
            </w:r>
            <w:r>
              <w:rPr>
                <w:rFonts w:hint="eastAsia" w:ascii="仿宋_GB2312" w:hAnsi="仿宋" w:eastAsia="仿宋_GB2312"/>
                <w:sz w:val="24"/>
                <w:szCs w:val="24"/>
                <w:lang w:eastAsia="zh-CN"/>
              </w:rPr>
              <w:t>有</w:t>
            </w:r>
            <w:r>
              <w:rPr>
                <w:rFonts w:hint="eastAsia" w:ascii="仿宋_GB2312" w:hAnsi="仿宋" w:eastAsia="仿宋_GB2312"/>
                <w:sz w:val="24"/>
                <w:szCs w:val="24"/>
                <w:lang w:val="en-US" w:eastAsia="zh-CN"/>
              </w:rPr>
              <w:t>一个不能</w:t>
            </w:r>
            <w:r>
              <w:rPr>
                <w:rFonts w:hint="eastAsia" w:ascii="仿宋_GB2312" w:hAnsi="仿宋" w:eastAsia="仿宋_GB2312"/>
                <w:sz w:val="24"/>
                <w:szCs w:val="24"/>
              </w:rPr>
              <w:t>正常运行扣0.</w:t>
            </w:r>
            <w:r>
              <w:rPr>
                <w:rFonts w:ascii="仿宋_GB2312" w:hAnsi="仿宋" w:eastAsia="仿宋_GB2312"/>
                <w:sz w:val="24"/>
                <w:szCs w:val="24"/>
              </w:rPr>
              <w:t>5</w:t>
            </w:r>
            <w:r>
              <w:rPr>
                <w:rFonts w:hint="eastAsia" w:ascii="仿宋_GB2312" w:hAnsi="仿宋" w:eastAsia="仿宋_GB2312"/>
                <w:sz w:val="24"/>
                <w:szCs w:val="24"/>
              </w:rPr>
              <w:t>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Ex>
        <w:trPr>
          <w:trHeight w:val="20" w:hRule="atLeast"/>
          <w:jc w:val="center"/>
        </w:trPr>
        <w:tc>
          <w:tcPr>
            <w:tcW w:w="1060" w:type="dxa"/>
            <w:vMerge w:val="continue"/>
            <w:noWrap w:val="0"/>
            <w:vAlign w:val="center"/>
          </w:tcPr>
          <w:p>
            <w:pPr>
              <w:jc w:val="center"/>
              <w:rPr>
                <w:rFonts w:hint="eastAsia" w:ascii="仿宋_GB2312" w:hAnsi="仿宋" w:eastAsia="仿宋_GB2312"/>
                <w:b/>
                <w:bCs/>
                <w:sz w:val="24"/>
                <w:szCs w:val="24"/>
              </w:rPr>
            </w:pPr>
          </w:p>
        </w:tc>
        <w:tc>
          <w:tcPr>
            <w:tcW w:w="428" w:type="dxa"/>
            <w:vMerge w:val="continue"/>
            <w:noWrap w:val="0"/>
            <w:vAlign w:val="center"/>
          </w:tcPr>
          <w:p>
            <w:pPr>
              <w:jc w:val="center"/>
              <w:rPr>
                <w:rFonts w:hint="eastAsia" w:ascii="仿宋_GB2312" w:hAnsi="Times New Roman" w:eastAsia="仿宋_GB2312"/>
                <w:b/>
                <w:sz w:val="24"/>
                <w:szCs w:val="24"/>
              </w:rPr>
            </w:pPr>
          </w:p>
        </w:tc>
        <w:tc>
          <w:tcPr>
            <w:tcW w:w="1116" w:type="dxa"/>
            <w:vMerge w:val="continue"/>
            <w:noWrap w:val="0"/>
            <w:vAlign w:val="center"/>
          </w:tcPr>
          <w:p>
            <w:pPr>
              <w:jc w:val="center"/>
              <w:rPr>
                <w:rFonts w:hint="eastAsia" w:ascii="仿宋_GB2312" w:hAnsi="Times New Roman" w:eastAsia="仿宋_GB2312"/>
                <w:sz w:val="24"/>
                <w:szCs w:val="24"/>
              </w:rPr>
            </w:pPr>
          </w:p>
        </w:tc>
        <w:tc>
          <w:tcPr>
            <w:tcW w:w="1356"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水土流失动态监测</w:t>
            </w:r>
          </w:p>
          <w:p>
            <w:pPr>
              <w:jc w:val="center"/>
              <w:rPr>
                <w:rFonts w:hint="eastAsia" w:ascii="仿宋_GB2312" w:hAnsi="仿宋" w:eastAsia="仿宋_GB2312"/>
                <w:sz w:val="24"/>
                <w:szCs w:val="24"/>
              </w:rPr>
            </w:pPr>
            <w:r>
              <w:rPr>
                <w:rFonts w:hint="eastAsia" w:ascii="仿宋_GB2312" w:hAnsi="仿宋" w:eastAsia="仿宋_GB2312"/>
                <w:sz w:val="24"/>
                <w:szCs w:val="24"/>
              </w:rPr>
              <w:t>（2分）</w:t>
            </w:r>
          </w:p>
        </w:tc>
        <w:tc>
          <w:tcPr>
            <w:tcW w:w="4589" w:type="dxa"/>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按照总体部署安排要求完成辖区水土流失动态监测配合任务的得2分，未按要求完成配合任务的不得分。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Ex>
        <w:trPr>
          <w:trHeight w:val="20" w:hRule="atLeast"/>
          <w:jc w:val="center"/>
        </w:trPr>
        <w:tc>
          <w:tcPr>
            <w:tcW w:w="1060" w:type="dxa"/>
            <w:vMerge w:val="continue"/>
            <w:noWrap w:val="0"/>
            <w:vAlign w:val="center"/>
          </w:tcPr>
          <w:p>
            <w:pPr>
              <w:jc w:val="center"/>
              <w:rPr>
                <w:rFonts w:hint="eastAsia" w:ascii="仿宋_GB2312" w:hAnsi="仿宋" w:eastAsia="仿宋_GB2312"/>
                <w:b/>
                <w:bCs/>
                <w:sz w:val="24"/>
                <w:szCs w:val="24"/>
              </w:rPr>
            </w:pPr>
          </w:p>
        </w:tc>
        <w:tc>
          <w:tcPr>
            <w:tcW w:w="428" w:type="dxa"/>
            <w:vMerge w:val="continue"/>
            <w:noWrap w:val="0"/>
            <w:vAlign w:val="center"/>
          </w:tcPr>
          <w:p>
            <w:pPr>
              <w:jc w:val="center"/>
              <w:rPr>
                <w:rFonts w:hint="eastAsia" w:ascii="仿宋_GB2312" w:hAnsi="Times New Roman" w:eastAsia="仿宋_GB2312"/>
                <w:b/>
                <w:sz w:val="24"/>
                <w:szCs w:val="24"/>
              </w:rPr>
            </w:pPr>
          </w:p>
        </w:tc>
        <w:tc>
          <w:tcPr>
            <w:tcW w:w="1116" w:type="dxa"/>
            <w:vMerge w:val="continue"/>
            <w:noWrap w:val="0"/>
            <w:vAlign w:val="center"/>
          </w:tcPr>
          <w:p>
            <w:pPr>
              <w:jc w:val="center"/>
              <w:rPr>
                <w:rFonts w:hint="eastAsia" w:ascii="仿宋_GB2312" w:hAnsi="Times New Roman" w:eastAsia="仿宋_GB2312"/>
                <w:sz w:val="24"/>
                <w:szCs w:val="24"/>
              </w:rPr>
            </w:pPr>
          </w:p>
        </w:tc>
        <w:tc>
          <w:tcPr>
            <w:tcW w:w="1356"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监测数据统计上报</w:t>
            </w:r>
          </w:p>
          <w:p>
            <w:pPr>
              <w:jc w:val="center"/>
              <w:rPr>
                <w:rFonts w:hint="eastAsia" w:ascii="仿宋_GB2312" w:hAnsi="仿宋" w:eastAsia="仿宋_GB2312"/>
                <w:sz w:val="24"/>
                <w:szCs w:val="24"/>
              </w:rPr>
            </w:pPr>
            <w:r>
              <w:rPr>
                <w:rFonts w:hint="eastAsia" w:ascii="仿宋_GB2312" w:hAnsi="仿宋" w:eastAsia="仿宋_GB2312"/>
                <w:sz w:val="24"/>
                <w:szCs w:val="24"/>
              </w:rPr>
              <w:t>（</w:t>
            </w:r>
            <w:r>
              <w:rPr>
                <w:rFonts w:ascii="仿宋_GB2312" w:hAnsi="仿宋" w:eastAsia="仿宋_GB2312"/>
                <w:sz w:val="24"/>
                <w:szCs w:val="24"/>
              </w:rPr>
              <w:t>1</w:t>
            </w:r>
            <w:r>
              <w:rPr>
                <w:rFonts w:hint="eastAsia" w:ascii="仿宋_GB2312" w:hAnsi="仿宋" w:eastAsia="仿宋_GB2312"/>
                <w:sz w:val="24"/>
                <w:szCs w:val="24"/>
              </w:rPr>
              <w:t>分）</w:t>
            </w:r>
          </w:p>
        </w:tc>
        <w:tc>
          <w:tcPr>
            <w:tcW w:w="4589" w:type="dxa"/>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监测公报数据按要求按时统计上报的得1分，未按时统计上报的不得分。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Ex>
        <w:trPr>
          <w:trHeight w:val="1517" w:hRule="atLeast"/>
          <w:jc w:val="center"/>
        </w:trPr>
        <w:tc>
          <w:tcPr>
            <w:tcW w:w="1060" w:type="dxa"/>
            <w:vMerge w:val="continue"/>
            <w:noWrap w:val="0"/>
            <w:vAlign w:val="center"/>
          </w:tcPr>
          <w:p>
            <w:pPr>
              <w:jc w:val="center"/>
              <w:rPr>
                <w:rFonts w:hint="eastAsia" w:ascii="仿宋_GB2312" w:hAnsi="Times New Roman" w:eastAsia="仿宋_GB2312"/>
                <w:b/>
                <w:bCs/>
                <w:sz w:val="24"/>
                <w:szCs w:val="24"/>
              </w:rPr>
            </w:pPr>
          </w:p>
        </w:tc>
        <w:tc>
          <w:tcPr>
            <w:tcW w:w="428" w:type="dxa"/>
            <w:vMerge w:val="restart"/>
            <w:noWrap w:val="0"/>
            <w:vAlign w:val="center"/>
          </w:tcPr>
          <w:p>
            <w:pPr>
              <w:jc w:val="center"/>
              <w:rPr>
                <w:rFonts w:hint="eastAsia" w:ascii="仿宋_GB2312" w:hAnsi="Times New Roman" w:eastAsia="仿宋_GB2312"/>
                <w:b/>
                <w:sz w:val="24"/>
                <w:szCs w:val="24"/>
              </w:rPr>
            </w:pPr>
            <w:r>
              <w:rPr>
                <w:rFonts w:hint="eastAsia" w:ascii="仿宋_GB2312" w:hAnsi="Times New Roman" w:eastAsia="仿宋_GB2312"/>
                <w:b/>
                <w:sz w:val="24"/>
                <w:szCs w:val="24"/>
              </w:rPr>
              <w:t>11</w:t>
            </w:r>
          </w:p>
        </w:tc>
        <w:tc>
          <w:tcPr>
            <w:tcW w:w="1116" w:type="dxa"/>
            <w:vMerge w:val="restart"/>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水土保持信息化应用情况</w:t>
            </w:r>
          </w:p>
          <w:p>
            <w:pPr>
              <w:jc w:val="center"/>
              <w:rPr>
                <w:rFonts w:hint="eastAsia" w:ascii="仿宋_GB2312" w:hAnsi="Times New Roman" w:eastAsia="仿宋_GB2312"/>
                <w:sz w:val="24"/>
                <w:szCs w:val="24"/>
              </w:rPr>
            </w:pPr>
            <w:r>
              <w:rPr>
                <w:rFonts w:hint="eastAsia" w:ascii="仿宋_GB2312" w:hAnsi="仿宋" w:eastAsia="仿宋_GB2312"/>
                <w:sz w:val="24"/>
                <w:szCs w:val="24"/>
              </w:rPr>
              <w:t>（</w:t>
            </w:r>
            <w:r>
              <w:rPr>
                <w:rFonts w:hint="eastAsia" w:ascii="仿宋_GB2312" w:hAnsi="Times New Roman" w:eastAsia="仿宋_GB2312"/>
                <w:sz w:val="24"/>
                <w:szCs w:val="24"/>
              </w:rPr>
              <w:t>9分）</w:t>
            </w:r>
          </w:p>
        </w:tc>
        <w:tc>
          <w:tcPr>
            <w:tcW w:w="1356" w:type="dxa"/>
            <w:tcBorders>
              <w:bottom w:val="single" w:color="auto" w:sz="4" w:space="0"/>
            </w:tcBorders>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重点工程信息数据录入（3分）</w:t>
            </w:r>
          </w:p>
        </w:tc>
        <w:tc>
          <w:tcPr>
            <w:tcW w:w="4589" w:type="dxa"/>
            <w:tcBorders>
              <w:bottom w:val="single" w:color="auto" w:sz="4" w:space="0"/>
            </w:tcBorders>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国家水土保持重点工程实施方案、措施图斑、审批、施工、验收等相关信息录入完整的，得3分，每少录入一个项目信息扣0.2分，扣完为止。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Ex>
        <w:trPr>
          <w:trHeight w:val="1785" w:hRule="atLeast"/>
          <w:jc w:val="center"/>
        </w:trPr>
        <w:tc>
          <w:tcPr>
            <w:tcW w:w="1060" w:type="dxa"/>
            <w:vMerge w:val="continue"/>
            <w:noWrap w:val="0"/>
            <w:vAlign w:val="center"/>
          </w:tcPr>
          <w:p>
            <w:pPr>
              <w:jc w:val="center"/>
              <w:rPr>
                <w:rFonts w:hint="eastAsia" w:ascii="仿宋_GB2312" w:hAnsi="Times New Roman" w:eastAsia="仿宋_GB2312"/>
                <w:b/>
                <w:bCs/>
                <w:sz w:val="24"/>
                <w:szCs w:val="24"/>
              </w:rPr>
            </w:pPr>
          </w:p>
        </w:tc>
        <w:tc>
          <w:tcPr>
            <w:tcW w:w="428" w:type="dxa"/>
            <w:vMerge w:val="continue"/>
            <w:noWrap w:val="0"/>
            <w:vAlign w:val="center"/>
          </w:tcPr>
          <w:p>
            <w:pPr>
              <w:jc w:val="center"/>
              <w:rPr>
                <w:rFonts w:hint="eastAsia" w:ascii="仿宋_GB2312" w:hAnsi="Times New Roman" w:eastAsia="仿宋_GB2312"/>
                <w:sz w:val="24"/>
                <w:szCs w:val="24"/>
              </w:rPr>
            </w:pPr>
          </w:p>
        </w:tc>
        <w:tc>
          <w:tcPr>
            <w:tcW w:w="1116" w:type="dxa"/>
            <w:vMerge w:val="continue"/>
            <w:noWrap w:val="0"/>
            <w:vAlign w:val="center"/>
          </w:tcPr>
          <w:p>
            <w:pPr>
              <w:jc w:val="center"/>
              <w:rPr>
                <w:rFonts w:hint="eastAsia" w:ascii="仿宋_GB2312" w:hAnsi="仿宋" w:eastAsia="仿宋_GB2312"/>
                <w:sz w:val="24"/>
                <w:szCs w:val="24"/>
              </w:rPr>
            </w:pPr>
          </w:p>
        </w:tc>
        <w:tc>
          <w:tcPr>
            <w:tcW w:w="1356" w:type="dxa"/>
            <w:tcBorders>
              <w:top w:val="single" w:color="auto" w:sz="4" w:space="0"/>
              <w:bottom w:val="single" w:color="auto" w:sz="4" w:space="0"/>
            </w:tcBorders>
            <w:noWrap w:val="0"/>
            <w:vAlign w:val="center"/>
          </w:tcPr>
          <w:p>
            <w:pPr>
              <w:jc w:val="center"/>
              <w:rPr>
                <w:rFonts w:hint="eastAsia" w:ascii="仿宋_GB2312" w:hAnsi="Times New Roman" w:eastAsia="仿宋_GB2312"/>
                <w:sz w:val="24"/>
                <w:szCs w:val="24"/>
              </w:rPr>
            </w:pPr>
            <w:r>
              <w:rPr>
                <w:rFonts w:hint="eastAsia" w:ascii="仿宋_GB2312" w:hAnsi="仿宋" w:eastAsia="仿宋_GB2312"/>
                <w:sz w:val="24"/>
                <w:szCs w:val="24"/>
              </w:rPr>
              <w:t>水土保持方案信息数据录入（4分）</w:t>
            </w:r>
          </w:p>
        </w:tc>
        <w:tc>
          <w:tcPr>
            <w:tcW w:w="4589" w:type="dxa"/>
            <w:tcBorders>
              <w:top w:val="single" w:color="auto" w:sz="4" w:space="0"/>
              <w:bottom w:val="single" w:color="auto" w:sz="4" w:space="0"/>
            </w:tcBorders>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本级当年审批生产建设项目水土保持方案、防治责任范围矢量图、批复、监理监测、验收报备、补偿费征收等相关信息数据录入完整的，得4分，每少录入一个项目信息扣0.2分，扣完为止。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Ex>
        <w:trPr>
          <w:trHeight w:val="1222" w:hRule="atLeast"/>
          <w:jc w:val="center"/>
        </w:trPr>
        <w:tc>
          <w:tcPr>
            <w:tcW w:w="1060" w:type="dxa"/>
            <w:vMerge w:val="continue"/>
            <w:noWrap w:val="0"/>
            <w:vAlign w:val="center"/>
          </w:tcPr>
          <w:p>
            <w:pPr>
              <w:jc w:val="center"/>
              <w:rPr>
                <w:rFonts w:hint="eastAsia" w:ascii="仿宋_GB2312" w:hAnsi="Times New Roman" w:eastAsia="仿宋_GB2312"/>
                <w:b/>
                <w:bCs/>
                <w:sz w:val="24"/>
                <w:szCs w:val="24"/>
              </w:rPr>
            </w:pPr>
          </w:p>
        </w:tc>
        <w:tc>
          <w:tcPr>
            <w:tcW w:w="428" w:type="dxa"/>
            <w:vMerge w:val="continue"/>
            <w:noWrap w:val="0"/>
            <w:vAlign w:val="center"/>
          </w:tcPr>
          <w:p>
            <w:pPr>
              <w:jc w:val="center"/>
              <w:rPr>
                <w:rFonts w:hint="eastAsia" w:ascii="仿宋_GB2312" w:hAnsi="Times New Roman" w:eastAsia="仿宋_GB2312"/>
                <w:sz w:val="24"/>
                <w:szCs w:val="24"/>
              </w:rPr>
            </w:pPr>
          </w:p>
        </w:tc>
        <w:tc>
          <w:tcPr>
            <w:tcW w:w="1116" w:type="dxa"/>
            <w:vMerge w:val="continue"/>
            <w:noWrap w:val="0"/>
            <w:vAlign w:val="center"/>
          </w:tcPr>
          <w:p>
            <w:pPr>
              <w:jc w:val="center"/>
              <w:rPr>
                <w:rFonts w:hint="eastAsia" w:ascii="仿宋_GB2312" w:hAnsi="仿宋" w:eastAsia="仿宋_GB2312"/>
                <w:sz w:val="24"/>
                <w:szCs w:val="24"/>
              </w:rPr>
            </w:pPr>
          </w:p>
        </w:tc>
        <w:tc>
          <w:tcPr>
            <w:tcW w:w="1356" w:type="dxa"/>
            <w:tcBorders>
              <w:top w:val="single" w:color="auto" w:sz="4" w:space="0"/>
            </w:tcBorders>
            <w:noWrap w:val="0"/>
            <w:vAlign w:val="center"/>
          </w:tcPr>
          <w:p>
            <w:pPr>
              <w:jc w:val="center"/>
              <w:rPr>
                <w:rFonts w:hint="eastAsia" w:ascii="仿宋_GB2312" w:hAnsi="Times New Roman" w:eastAsia="仿宋_GB2312"/>
                <w:sz w:val="24"/>
                <w:szCs w:val="24"/>
              </w:rPr>
            </w:pPr>
            <w:r>
              <w:rPr>
                <w:rFonts w:hint="eastAsia" w:ascii="仿宋_GB2312" w:hAnsi="仿宋" w:eastAsia="仿宋_GB2312"/>
                <w:sz w:val="24"/>
                <w:szCs w:val="24"/>
              </w:rPr>
              <w:t>重点工程核查（2分）</w:t>
            </w:r>
          </w:p>
        </w:tc>
        <w:tc>
          <w:tcPr>
            <w:tcW w:w="4589" w:type="dxa"/>
            <w:tcBorders>
              <w:top w:val="single" w:color="auto" w:sz="4" w:space="0"/>
            </w:tcBorders>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国家水土保持重点工程在建项目的核查比例不低于10%得1分，低于10%不得分；竣工验收项目的核查比例不低于30%得1分，低于30%不得分。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Ex>
        <w:trPr>
          <w:trHeight w:val="920" w:hRule="atLeast"/>
          <w:jc w:val="center"/>
        </w:trPr>
        <w:tc>
          <w:tcPr>
            <w:tcW w:w="1060" w:type="dxa"/>
            <w:vMerge w:val="restart"/>
            <w:noWrap w:val="0"/>
            <w:vAlign w:val="center"/>
          </w:tcPr>
          <w:p>
            <w:pPr>
              <w:jc w:val="center"/>
              <w:rPr>
                <w:rFonts w:hint="eastAsia" w:ascii="仿宋_GB2312" w:hAnsi="Times New Roman" w:eastAsia="仿宋_GB2312"/>
                <w:b/>
                <w:bCs/>
                <w:sz w:val="24"/>
                <w:szCs w:val="24"/>
              </w:rPr>
            </w:pPr>
            <w:r>
              <w:rPr>
                <w:rFonts w:ascii="Times New Roman" w:hAnsi="仿宋" w:eastAsia="仿宋"/>
                <w:b/>
                <w:bCs/>
                <w:sz w:val="22"/>
              </w:rPr>
              <w:t>其他</w:t>
            </w:r>
          </w:p>
        </w:tc>
        <w:tc>
          <w:tcPr>
            <w:tcW w:w="428" w:type="dxa"/>
            <w:vMerge w:val="restart"/>
            <w:noWrap w:val="0"/>
            <w:vAlign w:val="center"/>
          </w:tcPr>
          <w:p>
            <w:pPr>
              <w:jc w:val="center"/>
              <w:rPr>
                <w:rFonts w:hint="eastAsia" w:ascii="仿宋_GB2312" w:hAnsi="Times New Roman" w:eastAsia="仿宋_GB2312"/>
                <w:b/>
                <w:sz w:val="24"/>
                <w:szCs w:val="24"/>
              </w:rPr>
            </w:pPr>
            <w:r>
              <w:rPr>
                <w:rFonts w:hint="eastAsia" w:ascii="仿宋_GB2312" w:hAnsi="Times New Roman" w:eastAsia="仿宋_GB2312"/>
                <w:b/>
                <w:sz w:val="24"/>
                <w:szCs w:val="24"/>
              </w:rPr>
              <w:t>12</w:t>
            </w:r>
          </w:p>
        </w:tc>
        <w:tc>
          <w:tcPr>
            <w:tcW w:w="1116" w:type="dxa"/>
            <w:vMerge w:val="restart"/>
            <w:noWrap w:val="0"/>
            <w:vAlign w:val="center"/>
          </w:tcPr>
          <w:p>
            <w:pPr>
              <w:jc w:val="center"/>
              <w:rPr>
                <w:rFonts w:hint="eastAsia" w:ascii="仿宋_GB2312" w:hAnsi="仿宋" w:eastAsia="仿宋_GB2312"/>
                <w:sz w:val="24"/>
                <w:szCs w:val="24"/>
              </w:rPr>
            </w:pPr>
            <w:r>
              <w:rPr>
                <w:rFonts w:ascii="仿宋_GB2312" w:hAnsi="仿宋" w:eastAsia="仿宋_GB2312"/>
                <w:sz w:val="24"/>
                <w:szCs w:val="24"/>
              </w:rPr>
              <w:t>加分项</w:t>
            </w:r>
          </w:p>
          <w:p>
            <w:pPr>
              <w:jc w:val="center"/>
              <w:rPr>
                <w:rFonts w:ascii="仿宋_GB2312" w:hAnsi="仿宋" w:eastAsia="仿宋_GB2312"/>
                <w:sz w:val="24"/>
                <w:szCs w:val="24"/>
              </w:rPr>
            </w:pPr>
            <w:r>
              <w:rPr>
                <w:rFonts w:hint="eastAsia" w:ascii="仿宋_GB2312" w:hAnsi="仿宋" w:eastAsia="仿宋_GB2312"/>
                <w:sz w:val="24"/>
                <w:szCs w:val="24"/>
              </w:rPr>
              <w:t>（</w:t>
            </w:r>
            <w:r>
              <w:rPr>
                <w:rFonts w:ascii="Times New Roman" w:hAnsi="Times New Roman" w:eastAsia="仿宋"/>
                <w:sz w:val="22"/>
              </w:rPr>
              <w:t>5</w:t>
            </w:r>
            <w:r>
              <w:rPr>
                <w:rFonts w:hint="eastAsia" w:ascii="Times New Roman" w:hAnsi="Times New Roman" w:eastAsia="仿宋"/>
                <w:sz w:val="22"/>
              </w:rPr>
              <w:t>分）</w:t>
            </w:r>
          </w:p>
        </w:tc>
        <w:tc>
          <w:tcPr>
            <w:tcW w:w="1356" w:type="dxa"/>
            <w:tcBorders>
              <w:top w:val="single" w:color="auto" w:sz="4" w:space="0"/>
            </w:tcBorders>
            <w:noWrap w:val="0"/>
            <w:vAlign w:val="center"/>
          </w:tcPr>
          <w:p>
            <w:pPr>
              <w:jc w:val="center"/>
              <w:rPr>
                <w:rFonts w:ascii="仿宋_GB2312" w:hAnsi="仿宋" w:eastAsia="仿宋_GB2312"/>
                <w:sz w:val="24"/>
                <w:szCs w:val="24"/>
              </w:rPr>
            </w:pPr>
            <w:r>
              <w:rPr>
                <w:rFonts w:hint="eastAsia" w:ascii="仿宋_GB2312" w:hAnsi="仿宋" w:eastAsia="仿宋_GB2312"/>
                <w:sz w:val="24"/>
                <w:szCs w:val="24"/>
              </w:rPr>
              <w:t>创新水土保持政策机制（1分）</w:t>
            </w:r>
          </w:p>
        </w:tc>
        <w:tc>
          <w:tcPr>
            <w:tcW w:w="4589" w:type="dxa"/>
            <w:tcBorders>
              <w:top w:val="single" w:color="auto" w:sz="4" w:space="0"/>
            </w:tcBorders>
            <w:noWrap w:val="0"/>
            <w:vAlign w:val="center"/>
          </w:tcPr>
          <w:p>
            <w:pPr>
              <w:jc w:val="left"/>
              <w:rPr>
                <w:rFonts w:ascii="仿宋_GB2312" w:hAnsi="仿宋" w:eastAsia="仿宋_GB2312"/>
                <w:sz w:val="24"/>
                <w:szCs w:val="24"/>
              </w:rPr>
            </w:pPr>
            <w:r>
              <w:rPr>
                <w:rFonts w:hint="eastAsia" w:ascii="仿宋_GB2312" w:hAnsi="仿宋" w:eastAsia="仿宋_GB2312"/>
                <w:sz w:val="24"/>
                <w:szCs w:val="24"/>
              </w:rPr>
              <w:t>在水土保持政策机制创新（如以奖代补、以工代赈政策）、水土保持投融资政策等方面建立机制的，每个加0.5分。此项加分不超过1分。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Ex>
        <w:trPr>
          <w:trHeight w:val="920" w:hRule="atLeast"/>
          <w:jc w:val="center"/>
        </w:trPr>
        <w:tc>
          <w:tcPr>
            <w:tcW w:w="1060" w:type="dxa"/>
            <w:vMerge w:val="continue"/>
            <w:noWrap w:val="0"/>
            <w:vAlign w:val="center"/>
          </w:tcPr>
          <w:p>
            <w:pPr>
              <w:jc w:val="center"/>
              <w:rPr>
                <w:rFonts w:ascii="Times New Roman" w:hAnsi="仿宋" w:eastAsia="仿宋"/>
                <w:b/>
                <w:bCs/>
                <w:sz w:val="22"/>
              </w:rPr>
            </w:pPr>
          </w:p>
        </w:tc>
        <w:tc>
          <w:tcPr>
            <w:tcW w:w="428" w:type="dxa"/>
            <w:vMerge w:val="continue"/>
            <w:noWrap w:val="0"/>
            <w:vAlign w:val="center"/>
          </w:tcPr>
          <w:p>
            <w:pPr>
              <w:jc w:val="center"/>
              <w:rPr>
                <w:rFonts w:hint="eastAsia" w:ascii="仿宋_GB2312" w:hAnsi="Times New Roman" w:eastAsia="仿宋_GB2312"/>
                <w:b/>
                <w:sz w:val="24"/>
                <w:szCs w:val="24"/>
              </w:rPr>
            </w:pPr>
          </w:p>
        </w:tc>
        <w:tc>
          <w:tcPr>
            <w:tcW w:w="1116" w:type="dxa"/>
            <w:vMerge w:val="continue"/>
            <w:noWrap w:val="0"/>
            <w:vAlign w:val="center"/>
          </w:tcPr>
          <w:p>
            <w:pPr>
              <w:jc w:val="center"/>
              <w:rPr>
                <w:rFonts w:ascii="仿宋_GB2312" w:hAnsi="仿宋" w:eastAsia="仿宋_GB2312"/>
                <w:sz w:val="24"/>
                <w:szCs w:val="24"/>
              </w:rPr>
            </w:pPr>
          </w:p>
        </w:tc>
        <w:tc>
          <w:tcPr>
            <w:tcW w:w="1356" w:type="dxa"/>
            <w:tcBorders>
              <w:top w:val="single" w:color="auto" w:sz="4" w:space="0"/>
            </w:tcBorders>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增加水土保持经费投入    （2分）</w:t>
            </w:r>
          </w:p>
        </w:tc>
        <w:tc>
          <w:tcPr>
            <w:tcW w:w="4589" w:type="dxa"/>
            <w:tcBorders>
              <w:top w:val="single" w:color="auto" w:sz="4" w:space="0"/>
            </w:tcBorders>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水土保持补偿费</w:t>
            </w:r>
            <w:r>
              <w:rPr>
                <w:rFonts w:ascii="仿宋_GB2312" w:hAnsi="仿宋" w:eastAsia="仿宋_GB2312"/>
                <w:sz w:val="24"/>
                <w:szCs w:val="24"/>
              </w:rPr>
              <w:t>5</w:t>
            </w:r>
            <w:r>
              <w:rPr>
                <w:rFonts w:hint="eastAsia" w:ascii="仿宋_GB2312" w:hAnsi="仿宋" w:eastAsia="仿宋_GB2312"/>
                <w:sz w:val="24"/>
                <w:szCs w:val="24"/>
              </w:rPr>
              <w:t>%以上用于水土保持工作的，加1分；</w:t>
            </w:r>
            <w:r>
              <w:rPr>
                <w:rFonts w:ascii="仿宋_GB2312" w:hAnsi="仿宋" w:eastAsia="仿宋_GB2312"/>
                <w:sz w:val="24"/>
                <w:szCs w:val="24"/>
              </w:rPr>
              <w:t>10</w:t>
            </w:r>
            <w:r>
              <w:rPr>
                <w:rFonts w:hint="eastAsia" w:ascii="仿宋_GB2312" w:hAnsi="仿宋" w:eastAsia="仿宋_GB2312"/>
                <w:sz w:val="24"/>
                <w:szCs w:val="24"/>
              </w:rPr>
              <w:t>%以上用于水土保持工作的，加2分。此项加分不超过2分。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Ex>
        <w:trPr>
          <w:trHeight w:val="920" w:hRule="atLeast"/>
          <w:jc w:val="center"/>
        </w:trPr>
        <w:tc>
          <w:tcPr>
            <w:tcW w:w="1060" w:type="dxa"/>
            <w:vMerge w:val="continue"/>
            <w:noWrap w:val="0"/>
            <w:vAlign w:val="center"/>
          </w:tcPr>
          <w:p>
            <w:pPr>
              <w:jc w:val="center"/>
              <w:rPr>
                <w:rFonts w:ascii="Times New Roman" w:hAnsi="仿宋" w:eastAsia="仿宋"/>
                <w:b/>
                <w:bCs/>
                <w:sz w:val="22"/>
              </w:rPr>
            </w:pPr>
          </w:p>
        </w:tc>
        <w:tc>
          <w:tcPr>
            <w:tcW w:w="428" w:type="dxa"/>
            <w:vMerge w:val="continue"/>
            <w:noWrap w:val="0"/>
            <w:vAlign w:val="center"/>
          </w:tcPr>
          <w:p>
            <w:pPr>
              <w:jc w:val="center"/>
              <w:rPr>
                <w:rFonts w:hint="eastAsia" w:ascii="仿宋_GB2312" w:hAnsi="Times New Roman" w:eastAsia="仿宋_GB2312"/>
                <w:b/>
                <w:sz w:val="24"/>
                <w:szCs w:val="24"/>
              </w:rPr>
            </w:pPr>
          </w:p>
        </w:tc>
        <w:tc>
          <w:tcPr>
            <w:tcW w:w="1116" w:type="dxa"/>
            <w:vMerge w:val="continue"/>
            <w:noWrap w:val="0"/>
            <w:vAlign w:val="center"/>
          </w:tcPr>
          <w:p>
            <w:pPr>
              <w:jc w:val="center"/>
              <w:rPr>
                <w:rFonts w:ascii="仿宋_GB2312" w:hAnsi="仿宋" w:eastAsia="仿宋_GB2312"/>
                <w:sz w:val="24"/>
                <w:szCs w:val="24"/>
              </w:rPr>
            </w:pPr>
          </w:p>
        </w:tc>
        <w:tc>
          <w:tcPr>
            <w:tcW w:w="1356" w:type="dxa"/>
            <w:tcBorders>
              <w:top w:val="single" w:color="auto" w:sz="4" w:space="0"/>
            </w:tcBorders>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水土保持示范创建</w:t>
            </w:r>
          </w:p>
          <w:p>
            <w:pPr>
              <w:jc w:val="center"/>
              <w:rPr>
                <w:rFonts w:hint="eastAsia" w:ascii="仿宋_GB2312" w:hAnsi="仿宋" w:eastAsia="仿宋_GB2312"/>
                <w:sz w:val="24"/>
                <w:szCs w:val="24"/>
              </w:rPr>
            </w:pPr>
            <w:r>
              <w:rPr>
                <w:rFonts w:hint="eastAsia" w:ascii="仿宋_GB2312" w:hAnsi="仿宋" w:eastAsia="仿宋_GB2312"/>
                <w:sz w:val="24"/>
                <w:szCs w:val="24"/>
              </w:rPr>
              <w:t>（2分）</w:t>
            </w:r>
          </w:p>
        </w:tc>
        <w:tc>
          <w:tcPr>
            <w:tcW w:w="4589" w:type="dxa"/>
            <w:tcBorders>
              <w:top w:val="single" w:color="auto" w:sz="4" w:space="0"/>
            </w:tcBorders>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创建国家水土保持示范县、国家水土保持示范园、国家水土保持示范工程（含生产建设项目和清洁小流域），每个加1分。此项加分不超过2分。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Ex>
        <w:trPr>
          <w:trHeight w:val="1257" w:hRule="atLeast"/>
          <w:jc w:val="center"/>
        </w:trPr>
        <w:tc>
          <w:tcPr>
            <w:tcW w:w="1060" w:type="dxa"/>
            <w:vMerge w:val="continue"/>
            <w:noWrap w:val="0"/>
            <w:vAlign w:val="center"/>
          </w:tcPr>
          <w:p>
            <w:pPr>
              <w:jc w:val="center"/>
              <w:rPr>
                <w:rFonts w:hint="eastAsia" w:ascii="仿宋_GB2312" w:hAnsi="Times New Roman" w:eastAsia="仿宋_GB2312"/>
                <w:b/>
                <w:bCs/>
                <w:sz w:val="24"/>
                <w:szCs w:val="24"/>
              </w:rPr>
            </w:pPr>
          </w:p>
        </w:tc>
        <w:tc>
          <w:tcPr>
            <w:tcW w:w="428" w:type="dxa"/>
            <w:noWrap w:val="0"/>
            <w:vAlign w:val="center"/>
          </w:tcPr>
          <w:p>
            <w:pPr>
              <w:jc w:val="center"/>
              <w:rPr>
                <w:rFonts w:hint="eastAsia" w:ascii="仿宋_GB2312" w:hAnsi="Times New Roman" w:eastAsia="仿宋_GB2312"/>
                <w:b/>
                <w:sz w:val="24"/>
                <w:szCs w:val="24"/>
              </w:rPr>
            </w:pPr>
            <w:r>
              <w:rPr>
                <w:rFonts w:hint="eastAsia" w:ascii="仿宋_GB2312" w:hAnsi="Times New Roman" w:eastAsia="仿宋_GB2312"/>
                <w:b/>
                <w:sz w:val="24"/>
                <w:szCs w:val="24"/>
              </w:rPr>
              <w:t>13</w:t>
            </w:r>
          </w:p>
        </w:tc>
        <w:tc>
          <w:tcPr>
            <w:tcW w:w="1116" w:type="dxa"/>
            <w:noWrap w:val="0"/>
            <w:vAlign w:val="center"/>
          </w:tcPr>
          <w:p>
            <w:pPr>
              <w:jc w:val="center"/>
              <w:rPr>
                <w:rFonts w:hint="eastAsia" w:ascii="仿宋_GB2312" w:hAnsi="仿宋" w:eastAsia="仿宋_GB2312"/>
                <w:sz w:val="24"/>
                <w:szCs w:val="24"/>
              </w:rPr>
            </w:pPr>
            <w:r>
              <w:rPr>
                <w:rFonts w:ascii="仿宋_GB2312" w:hAnsi="仿宋" w:eastAsia="仿宋_GB2312"/>
                <w:sz w:val="24"/>
                <w:szCs w:val="24"/>
              </w:rPr>
              <w:t>扣分项</w:t>
            </w:r>
          </w:p>
          <w:p>
            <w:pPr>
              <w:jc w:val="center"/>
              <w:rPr>
                <w:rFonts w:ascii="仿宋_GB2312" w:hAnsi="仿宋" w:eastAsia="仿宋_GB2312"/>
                <w:sz w:val="24"/>
                <w:szCs w:val="24"/>
              </w:rPr>
            </w:pPr>
            <w:r>
              <w:rPr>
                <w:rFonts w:hint="eastAsia" w:ascii="仿宋_GB2312" w:hAnsi="仿宋" w:eastAsia="仿宋_GB2312"/>
                <w:sz w:val="24"/>
                <w:szCs w:val="24"/>
              </w:rPr>
              <w:t>（</w:t>
            </w:r>
            <w:r>
              <w:rPr>
                <w:rFonts w:ascii="Times New Roman" w:hAnsi="Times New Roman" w:eastAsia="仿宋"/>
                <w:sz w:val="22"/>
              </w:rPr>
              <w:t>5</w:t>
            </w:r>
            <w:r>
              <w:rPr>
                <w:rFonts w:hint="eastAsia" w:ascii="Times New Roman" w:hAnsi="Times New Roman" w:eastAsia="仿宋"/>
                <w:sz w:val="22"/>
              </w:rPr>
              <w:t>分）</w:t>
            </w:r>
          </w:p>
        </w:tc>
        <w:tc>
          <w:tcPr>
            <w:tcW w:w="1356" w:type="dxa"/>
            <w:tcBorders>
              <w:top w:val="single" w:color="auto" w:sz="4" w:space="0"/>
            </w:tcBorders>
            <w:noWrap w:val="0"/>
            <w:vAlign w:val="center"/>
          </w:tcPr>
          <w:p>
            <w:pPr>
              <w:jc w:val="center"/>
              <w:rPr>
                <w:rFonts w:ascii="Times New Roman" w:hAnsi="Times New Roman" w:eastAsia="仿宋"/>
                <w:sz w:val="22"/>
              </w:rPr>
            </w:pPr>
            <w:r>
              <w:rPr>
                <w:rFonts w:hint="eastAsia" w:ascii="仿宋_GB2312" w:hAnsi="仿宋" w:eastAsia="仿宋_GB2312"/>
                <w:sz w:val="24"/>
                <w:szCs w:val="24"/>
              </w:rPr>
              <w:t>发生重大危害事件和事故、存在违规违纪等（5分）</w:t>
            </w:r>
          </w:p>
        </w:tc>
        <w:tc>
          <w:tcPr>
            <w:tcW w:w="4589" w:type="dxa"/>
            <w:tcBorders>
              <w:top w:val="single" w:color="auto" w:sz="4" w:space="0"/>
            </w:tcBorders>
            <w:noWrap w:val="0"/>
            <w:vAlign w:val="center"/>
          </w:tcPr>
          <w:p>
            <w:pPr>
              <w:jc w:val="left"/>
              <w:rPr>
                <w:rFonts w:ascii="仿宋_GB2312" w:hAnsi="仿宋" w:eastAsia="仿宋_GB2312"/>
                <w:sz w:val="24"/>
                <w:szCs w:val="24"/>
              </w:rPr>
            </w:pPr>
            <w:r>
              <w:rPr>
                <w:rFonts w:hint="eastAsia" w:ascii="仿宋_GB2312" w:hAnsi="仿宋" w:eastAsia="仿宋_GB2312"/>
                <w:sz w:val="24"/>
                <w:szCs w:val="24"/>
              </w:rPr>
              <w:t>发生严重人为水土流失危害事件，水土保持工程建设管理方面出现重大责任事故、违规违纪使用资金、上级部门布置的重要工作落实不力等，存在上述问题之一扣5分。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Ex>
        <w:trPr>
          <w:trHeight w:val="1705" w:hRule="atLeast"/>
          <w:jc w:val="center"/>
        </w:trPr>
        <w:tc>
          <w:tcPr>
            <w:tcW w:w="2604" w:type="dxa"/>
            <w:gridSpan w:val="3"/>
            <w:noWrap w:val="0"/>
            <w:vAlign w:val="center"/>
          </w:tcPr>
          <w:p>
            <w:pPr>
              <w:spacing w:line="240" w:lineRule="exact"/>
              <w:jc w:val="center"/>
              <w:rPr>
                <w:rFonts w:ascii="Times New Roman" w:hAnsi="仿宋" w:eastAsia="仿宋"/>
                <w:sz w:val="22"/>
              </w:rPr>
            </w:pPr>
            <w:r>
              <w:rPr>
                <w:rFonts w:hint="eastAsia" w:ascii="Times New Roman" w:hAnsi="仿宋" w:eastAsia="仿宋"/>
                <w:b/>
                <w:bCs/>
                <w:sz w:val="22"/>
              </w:rPr>
              <w:t>总分（100分）</w:t>
            </w:r>
          </w:p>
        </w:tc>
        <w:tc>
          <w:tcPr>
            <w:tcW w:w="1356" w:type="dxa"/>
            <w:tcBorders>
              <w:top w:val="single" w:color="auto" w:sz="4" w:space="0"/>
            </w:tcBorders>
            <w:noWrap w:val="0"/>
            <w:vAlign w:val="center"/>
          </w:tcPr>
          <w:p>
            <w:pPr>
              <w:spacing w:line="240" w:lineRule="exact"/>
              <w:jc w:val="center"/>
              <w:rPr>
                <w:rFonts w:ascii="Times New Roman" w:hAnsi="Times New Roman" w:eastAsia="仿宋"/>
                <w:sz w:val="22"/>
              </w:rPr>
            </w:pPr>
          </w:p>
        </w:tc>
        <w:tc>
          <w:tcPr>
            <w:tcW w:w="4589" w:type="dxa"/>
            <w:tcBorders>
              <w:top w:val="single" w:color="auto" w:sz="4" w:space="0"/>
            </w:tcBorders>
            <w:noWrap w:val="0"/>
            <w:vAlign w:val="center"/>
          </w:tcPr>
          <w:p>
            <w:pPr>
              <w:jc w:val="left"/>
              <w:rPr>
                <w:rFonts w:ascii="仿宋_GB2312" w:hAnsi="仿宋" w:eastAsia="仿宋_GB2312"/>
                <w:sz w:val="24"/>
                <w:szCs w:val="24"/>
              </w:rPr>
            </w:pPr>
            <w:r>
              <w:rPr>
                <w:rFonts w:hint="eastAsia" w:ascii="仿宋_GB2312" w:hAnsi="仿宋" w:eastAsia="仿宋_GB2312"/>
                <w:sz w:val="24"/>
                <w:szCs w:val="24"/>
              </w:rPr>
              <w:t>1</w:t>
            </w:r>
            <w:r>
              <w:rPr>
                <w:rFonts w:hint="eastAsia" w:ascii="仿宋_GB2312" w:hAnsi="仿宋" w:eastAsia="仿宋_GB2312"/>
                <w:sz w:val="24"/>
                <w:szCs w:val="24"/>
                <w:lang w:eastAsia="zh-CN"/>
              </w:rPr>
              <w:t>.</w:t>
            </w:r>
            <w:r>
              <w:rPr>
                <w:rFonts w:hint="eastAsia" w:ascii="仿宋_GB2312" w:hAnsi="仿宋" w:eastAsia="仿宋_GB2312"/>
                <w:sz w:val="24"/>
                <w:szCs w:val="24"/>
              </w:rPr>
              <w:t>总分超过100的，按100分计。</w:t>
            </w:r>
          </w:p>
          <w:p>
            <w:pPr>
              <w:jc w:val="left"/>
              <w:rPr>
                <w:rFonts w:hint="eastAsia" w:ascii="Times New Roman" w:hAnsi="仿宋" w:eastAsia="仿宋"/>
                <w:sz w:val="22"/>
              </w:rPr>
            </w:pPr>
            <w:r>
              <w:rPr>
                <w:rFonts w:hint="eastAsia" w:ascii="仿宋_GB2312" w:hAnsi="仿宋" w:eastAsia="仿宋_GB2312"/>
                <w:sz w:val="24"/>
                <w:szCs w:val="24"/>
              </w:rPr>
              <w:t>2</w:t>
            </w:r>
            <w:r>
              <w:rPr>
                <w:rFonts w:hint="eastAsia" w:ascii="仿宋_GB2312" w:hAnsi="仿宋" w:eastAsia="仿宋_GB2312"/>
                <w:sz w:val="24"/>
                <w:szCs w:val="24"/>
                <w:lang w:eastAsia="zh-CN"/>
              </w:rPr>
              <w:t>.</w:t>
            </w:r>
            <w:r>
              <w:rPr>
                <w:rFonts w:hint="eastAsia" w:ascii="仿宋_GB2312" w:hAnsi="仿宋" w:eastAsia="仿宋_GB2312"/>
                <w:sz w:val="24"/>
                <w:szCs w:val="24"/>
              </w:rPr>
              <w:t>无相应指标考核内容工作的盟市，赋有相应指标考核内容工作盟市的平均分。</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7"/>
        <w:tblW w:w="8936"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3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36"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w:t>
            </w:r>
          </w:p>
          <w:p>
            <w:pPr>
              <w:spacing w:line="400" w:lineRule="exact"/>
              <w:ind w:firstLine="1148" w:firstLineChars="410"/>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36" w:type="dxa"/>
            <w:noWrap w:val="0"/>
            <w:vAlign w:val="top"/>
          </w:tcPr>
          <w:p>
            <w:pPr>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1</w:t>
            </w:r>
            <w:r>
              <w:rPr>
                <w:rFonts w:hint="eastAsia" w:ascii="仿宋_GB2312" w:eastAsia="仿宋_GB2312"/>
                <w:sz w:val="28"/>
              </w:rPr>
              <w:t>月</w:t>
            </w:r>
            <w:r>
              <w:rPr>
                <w:rFonts w:hint="eastAsia" w:ascii="仿宋_GB2312" w:eastAsia="仿宋_GB2312"/>
                <w:sz w:val="28"/>
                <w:lang w:val="en-US" w:eastAsia="zh-CN"/>
              </w:rPr>
              <w:t>20</w:t>
            </w:r>
            <w:r>
              <w:rPr>
                <w:rFonts w:hint="eastAsia" w:ascii="仿宋_GB2312" w:eastAsia="仿宋_GB2312"/>
                <w:sz w:val="28"/>
              </w:rPr>
              <w:t>日印发</w:t>
            </w:r>
          </w:p>
        </w:tc>
      </w:tr>
    </w:tbl>
    <w:p>
      <w:pPr>
        <w:spacing w:line="20" w:lineRule="exact"/>
        <w:rPr>
          <w:rFonts w:hint="eastAsia"/>
        </w:rPr>
      </w:pPr>
    </w:p>
    <w:sectPr>
      <w:headerReference r:id="rId5" w:type="default"/>
      <w:footerReference r:id="rId7" w:type="default"/>
      <w:headerReference r:id="rId6" w:type="even"/>
      <w:footerReference r:id="rId8" w:type="even"/>
      <w:pgSz w:w="11906" w:h="16838"/>
      <w:pgMar w:top="2041" w:right="1474" w:bottom="187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方正仿宋简体">
    <w:altName w:val="宋体"/>
    <w:panose1 w:val="02010601030101010101"/>
    <w:charset w:val="86"/>
    <w:family w:val="auto"/>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简体">
    <w:altName w:val="楷体"/>
    <w:panose1 w:val="02010601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- 2 -</w:t>
                          </w:r>
                          <w:r>
                            <w:rPr>
                              <w:rFonts w:hint="eastAsia" w:ascii="方正仿宋简体" w:hAnsi="方正仿宋简体" w:eastAsia="方正仿宋简体" w:cs="方正仿宋简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1oXZwwEAAHADAAAOAAAAAAAAAAEAIAAAAB4BAABkcnMvZTJvRG9jLnhtbFBL&#10;BQYAAAAABgAGAFkBAABT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- 2 -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sKxjjCAQAAcAMAAA4AAAAAAAAAAQAgAAAAHgEAAGRycy9lMm9Eb2MueG1sUEsF&#10;BgAAAAAGAAYAWQEAAFI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MVnvPCAQAAcAMAAA4AAAAAAAAAAQAgAAAAHgEAAGRycy9lMm9Eb2MueG1sUEsF&#10;BgAAAAAGAAYAWQEAAFI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75B"/>
    <w:rsid w:val="0000053B"/>
    <w:rsid w:val="00000BC8"/>
    <w:rsid w:val="00000D35"/>
    <w:rsid w:val="00000E8A"/>
    <w:rsid w:val="00001A5E"/>
    <w:rsid w:val="00004DF7"/>
    <w:rsid w:val="0001025F"/>
    <w:rsid w:val="00010E72"/>
    <w:rsid w:val="00010FBD"/>
    <w:rsid w:val="0001325A"/>
    <w:rsid w:val="000134B5"/>
    <w:rsid w:val="0001572E"/>
    <w:rsid w:val="0001671F"/>
    <w:rsid w:val="0001751F"/>
    <w:rsid w:val="00017973"/>
    <w:rsid w:val="00017A96"/>
    <w:rsid w:val="00017C56"/>
    <w:rsid w:val="00017C8E"/>
    <w:rsid w:val="00021290"/>
    <w:rsid w:val="000228A4"/>
    <w:rsid w:val="000231D7"/>
    <w:rsid w:val="00024FC9"/>
    <w:rsid w:val="00025291"/>
    <w:rsid w:val="0003004C"/>
    <w:rsid w:val="000305B6"/>
    <w:rsid w:val="00031020"/>
    <w:rsid w:val="00035516"/>
    <w:rsid w:val="00036CC9"/>
    <w:rsid w:val="00037A1D"/>
    <w:rsid w:val="0004119F"/>
    <w:rsid w:val="00041495"/>
    <w:rsid w:val="00043109"/>
    <w:rsid w:val="0004328F"/>
    <w:rsid w:val="00043BA4"/>
    <w:rsid w:val="00045126"/>
    <w:rsid w:val="00045F2E"/>
    <w:rsid w:val="00047737"/>
    <w:rsid w:val="0005120B"/>
    <w:rsid w:val="00053149"/>
    <w:rsid w:val="00055C21"/>
    <w:rsid w:val="00056556"/>
    <w:rsid w:val="00060597"/>
    <w:rsid w:val="00060CE0"/>
    <w:rsid w:val="000615CF"/>
    <w:rsid w:val="00062EAD"/>
    <w:rsid w:val="0006347A"/>
    <w:rsid w:val="000671EE"/>
    <w:rsid w:val="00070196"/>
    <w:rsid w:val="000701C3"/>
    <w:rsid w:val="0007042E"/>
    <w:rsid w:val="00071DE3"/>
    <w:rsid w:val="00071E83"/>
    <w:rsid w:val="0007324B"/>
    <w:rsid w:val="00074623"/>
    <w:rsid w:val="00076F96"/>
    <w:rsid w:val="00077F89"/>
    <w:rsid w:val="00082970"/>
    <w:rsid w:val="0008397E"/>
    <w:rsid w:val="00087EF4"/>
    <w:rsid w:val="00090E87"/>
    <w:rsid w:val="00090EB2"/>
    <w:rsid w:val="00092FA4"/>
    <w:rsid w:val="00097E64"/>
    <w:rsid w:val="000A1E68"/>
    <w:rsid w:val="000A2307"/>
    <w:rsid w:val="000A26F8"/>
    <w:rsid w:val="000A3DA4"/>
    <w:rsid w:val="000A51DB"/>
    <w:rsid w:val="000A7F88"/>
    <w:rsid w:val="000B0241"/>
    <w:rsid w:val="000B182B"/>
    <w:rsid w:val="000B2C2B"/>
    <w:rsid w:val="000B318D"/>
    <w:rsid w:val="000B483E"/>
    <w:rsid w:val="000B61DD"/>
    <w:rsid w:val="000B76CD"/>
    <w:rsid w:val="000D1918"/>
    <w:rsid w:val="000D2276"/>
    <w:rsid w:val="000D46E6"/>
    <w:rsid w:val="000D4B7C"/>
    <w:rsid w:val="000E00DE"/>
    <w:rsid w:val="000E160A"/>
    <w:rsid w:val="000E189F"/>
    <w:rsid w:val="000E242A"/>
    <w:rsid w:val="000E2DE0"/>
    <w:rsid w:val="000E4A4D"/>
    <w:rsid w:val="000E5531"/>
    <w:rsid w:val="000E60CB"/>
    <w:rsid w:val="000E6931"/>
    <w:rsid w:val="000F0166"/>
    <w:rsid w:val="000F105F"/>
    <w:rsid w:val="000F1D11"/>
    <w:rsid w:val="000F3390"/>
    <w:rsid w:val="000F3786"/>
    <w:rsid w:val="000F3C60"/>
    <w:rsid w:val="000F75F6"/>
    <w:rsid w:val="000F7B4B"/>
    <w:rsid w:val="00100F1E"/>
    <w:rsid w:val="00104732"/>
    <w:rsid w:val="00104FB1"/>
    <w:rsid w:val="001106F2"/>
    <w:rsid w:val="0011079A"/>
    <w:rsid w:val="00110B09"/>
    <w:rsid w:val="0011191E"/>
    <w:rsid w:val="0011423B"/>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04FA"/>
    <w:rsid w:val="00151C4B"/>
    <w:rsid w:val="00151F28"/>
    <w:rsid w:val="00153017"/>
    <w:rsid w:val="00155A0E"/>
    <w:rsid w:val="00155AD1"/>
    <w:rsid w:val="001562AD"/>
    <w:rsid w:val="001602EE"/>
    <w:rsid w:val="001608F4"/>
    <w:rsid w:val="001633A8"/>
    <w:rsid w:val="0016554C"/>
    <w:rsid w:val="00166461"/>
    <w:rsid w:val="0016715A"/>
    <w:rsid w:val="001679C2"/>
    <w:rsid w:val="00167E02"/>
    <w:rsid w:val="00170824"/>
    <w:rsid w:val="0017273F"/>
    <w:rsid w:val="00172ABF"/>
    <w:rsid w:val="00173AA9"/>
    <w:rsid w:val="00177B68"/>
    <w:rsid w:val="00180CF8"/>
    <w:rsid w:val="00182DBF"/>
    <w:rsid w:val="00183AA6"/>
    <w:rsid w:val="001844AF"/>
    <w:rsid w:val="00184638"/>
    <w:rsid w:val="001854A5"/>
    <w:rsid w:val="00187037"/>
    <w:rsid w:val="00194319"/>
    <w:rsid w:val="001948D4"/>
    <w:rsid w:val="00197198"/>
    <w:rsid w:val="00197DB0"/>
    <w:rsid w:val="001A0A30"/>
    <w:rsid w:val="001A102B"/>
    <w:rsid w:val="001A2BD2"/>
    <w:rsid w:val="001A3639"/>
    <w:rsid w:val="001A4416"/>
    <w:rsid w:val="001A54D0"/>
    <w:rsid w:val="001A72B0"/>
    <w:rsid w:val="001B2E25"/>
    <w:rsid w:val="001B36FF"/>
    <w:rsid w:val="001B6A85"/>
    <w:rsid w:val="001C21AB"/>
    <w:rsid w:val="001C291D"/>
    <w:rsid w:val="001C2E2C"/>
    <w:rsid w:val="001C2FB0"/>
    <w:rsid w:val="001C3230"/>
    <w:rsid w:val="001C4131"/>
    <w:rsid w:val="001C472D"/>
    <w:rsid w:val="001D0ADB"/>
    <w:rsid w:val="001D2A39"/>
    <w:rsid w:val="001D2BA0"/>
    <w:rsid w:val="001D2EC2"/>
    <w:rsid w:val="001D2F6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0AD3"/>
    <w:rsid w:val="002014F1"/>
    <w:rsid w:val="002016DC"/>
    <w:rsid w:val="00202305"/>
    <w:rsid w:val="002037DD"/>
    <w:rsid w:val="00203FE2"/>
    <w:rsid w:val="00205C6F"/>
    <w:rsid w:val="002112BA"/>
    <w:rsid w:val="00211B40"/>
    <w:rsid w:val="0021430F"/>
    <w:rsid w:val="0022010B"/>
    <w:rsid w:val="002211EC"/>
    <w:rsid w:val="0022167D"/>
    <w:rsid w:val="00222BE8"/>
    <w:rsid w:val="00225BC5"/>
    <w:rsid w:val="00226765"/>
    <w:rsid w:val="002301CC"/>
    <w:rsid w:val="00230DF7"/>
    <w:rsid w:val="00233CA4"/>
    <w:rsid w:val="002348F4"/>
    <w:rsid w:val="00237D8D"/>
    <w:rsid w:val="00243573"/>
    <w:rsid w:val="002438BD"/>
    <w:rsid w:val="00244F58"/>
    <w:rsid w:val="002452C9"/>
    <w:rsid w:val="002502FA"/>
    <w:rsid w:val="002508F6"/>
    <w:rsid w:val="00253497"/>
    <w:rsid w:val="00253505"/>
    <w:rsid w:val="002537D8"/>
    <w:rsid w:val="00253D8D"/>
    <w:rsid w:val="00254C91"/>
    <w:rsid w:val="0026009A"/>
    <w:rsid w:val="00260B18"/>
    <w:rsid w:val="00261C1B"/>
    <w:rsid w:val="00263BB4"/>
    <w:rsid w:val="00264B5A"/>
    <w:rsid w:val="00265F33"/>
    <w:rsid w:val="0026602D"/>
    <w:rsid w:val="002701FE"/>
    <w:rsid w:val="00271599"/>
    <w:rsid w:val="002750B4"/>
    <w:rsid w:val="002755E6"/>
    <w:rsid w:val="00276A20"/>
    <w:rsid w:val="00276D59"/>
    <w:rsid w:val="00277086"/>
    <w:rsid w:val="0027732C"/>
    <w:rsid w:val="00284880"/>
    <w:rsid w:val="00286092"/>
    <w:rsid w:val="00290135"/>
    <w:rsid w:val="00292BED"/>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454E"/>
    <w:rsid w:val="002F5391"/>
    <w:rsid w:val="002F5BA9"/>
    <w:rsid w:val="00301AC3"/>
    <w:rsid w:val="00302690"/>
    <w:rsid w:val="00302982"/>
    <w:rsid w:val="00303418"/>
    <w:rsid w:val="00316104"/>
    <w:rsid w:val="00317237"/>
    <w:rsid w:val="00321960"/>
    <w:rsid w:val="00322E30"/>
    <w:rsid w:val="00323F0A"/>
    <w:rsid w:val="00324C04"/>
    <w:rsid w:val="003340DF"/>
    <w:rsid w:val="00334343"/>
    <w:rsid w:val="003347A0"/>
    <w:rsid w:val="0033586E"/>
    <w:rsid w:val="00336F88"/>
    <w:rsid w:val="00340FF0"/>
    <w:rsid w:val="00341A6E"/>
    <w:rsid w:val="00342CC3"/>
    <w:rsid w:val="00343E0C"/>
    <w:rsid w:val="00344DA3"/>
    <w:rsid w:val="00350F9A"/>
    <w:rsid w:val="003512F2"/>
    <w:rsid w:val="00351987"/>
    <w:rsid w:val="00351F4C"/>
    <w:rsid w:val="00352A64"/>
    <w:rsid w:val="0035334E"/>
    <w:rsid w:val="003557E4"/>
    <w:rsid w:val="00361A29"/>
    <w:rsid w:val="0036715B"/>
    <w:rsid w:val="00367E4A"/>
    <w:rsid w:val="00371465"/>
    <w:rsid w:val="003725B6"/>
    <w:rsid w:val="00372B36"/>
    <w:rsid w:val="0037414E"/>
    <w:rsid w:val="0037427E"/>
    <w:rsid w:val="00375606"/>
    <w:rsid w:val="00381A7A"/>
    <w:rsid w:val="00382E2B"/>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CC3"/>
    <w:rsid w:val="003A63CE"/>
    <w:rsid w:val="003A6755"/>
    <w:rsid w:val="003A7796"/>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E6F44"/>
    <w:rsid w:val="003F0B67"/>
    <w:rsid w:val="003F1F24"/>
    <w:rsid w:val="003F595E"/>
    <w:rsid w:val="003F6574"/>
    <w:rsid w:val="003F6E09"/>
    <w:rsid w:val="003F728E"/>
    <w:rsid w:val="0040189F"/>
    <w:rsid w:val="00402EDB"/>
    <w:rsid w:val="004055D4"/>
    <w:rsid w:val="004100FD"/>
    <w:rsid w:val="0041232A"/>
    <w:rsid w:val="004125FC"/>
    <w:rsid w:val="00412AD9"/>
    <w:rsid w:val="004152A5"/>
    <w:rsid w:val="00415492"/>
    <w:rsid w:val="004178C8"/>
    <w:rsid w:val="00423C35"/>
    <w:rsid w:val="004278D4"/>
    <w:rsid w:val="00430013"/>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5C9"/>
    <w:rsid w:val="0046163C"/>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652"/>
    <w:rsid w:val="004909BB"/>
    <w:rsid w:val="0049197F"/>
    <w:rsid w:val="00493DD9"/>
    <w:rsid w:val="00496CF3"/>
    <w:rsid w:val="00496D57"/>
    <w:rsid w:val="004A135E"/>
    <w:rsid w:val="004A1F48"/>
    <w:rsid w:val="004A373F"/>
    <w:rsid w:val="004A464E"/>
    <w:rsid w:val="004A4859"/>
    <w:rsid w:val="004A618D"/>
    <w:rsid w:val="004A6909"/>
    <w:rsid w:val="004A7390"/>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064D6"/>
    <w:rsid w:val="00507B03"/>
    <w:rsid w:val="0051102B"/>
    <w:rsid w:val="0051110B"/>
    <w:rsid w:val="00513E02"/>
    <w:rsid w:val="005141F0"/>
    <w:rsid w:val="00514727"/>
    <w:rsid w:val="0051691A"/>
    <w:rsid w:val="005216DB"/>
    <w:rsid w:val="005229E8"/>
    <w:rsid w:val="00522BE1"/>
    <w:rsid w:val="00525134"/>
    <w:rsid w:val="00527055"/>
    <w:rsid w:val="00527860"/>
    <w:rsid w:val="005302E8"/>
    <w:rsid w:val="00537C60"/>
    <w:rsid w:val="005403BB"/>
    <w:rsid w:val="00540508"/>
    <w:rsid w:val="00541462"/>
    <w:rsid w:val="00542BA0"/>
    <w:rsid w:val="00545692"/>
    <w:rsid w:val="00547939"/>
    <w:rsid w:val="0055006E"/>
    <w:rsid w:val="005528A4"/>
    <w:rsid w:val="0055343F"/>
    <w:rsid w:val="005538B1"/>
    <w:rsid w:val="005570A3"/>
    <w:rsid w:val="00557BB6"/>
    <w:rsid w:val="005617E0"/>
    <w:rsid w:val="005618EC"/>
    <w:rsid w:val="005623D2"/>
    <w:rsid w:val="0056793D"/>
    <w:rsid w:val="00567DFD"/>
    <w:rsid w:val="00570476"/>
    <w:rsid w:val="005758B0"/>
    <w:rsid w:val="0057593B"/>
    <w:rsid w:val="005761DA"/>
    <w:rsid w:val="00576B9B"/>
    <w:rsid w:val="005775A5"/>
    <w:rsid w:val="00577A94"/>
    <w:rsid w:val="00577CD6"/>
    <w:rsid w:val="00581C4B"/>
    <w:rsid w:val="005820C9"/>
    <w:rsid w:val="00582F58"/>
    <w:rsid w:val="005847C1"/>
    <w:rsid w:val="005900A4"/>
    <w:rsid w:val="005903E6"/>
    <w:rsid w:val="005906A6"/>
    <w:rsid w:val="00590E74"/>
    <w:rsid w:val="005937C4"/>
    <w:rsid w:val="00593B63"/>
    <w:rsid w:val="00596518"/>
    <w:rsid w:val="005A1C62"/>
    <w:rsid w:val="005A1F8D"/>
    <w:rsid w:val="005A6087"/>
    <w:rsid w:val="005A65C8"/>
    <w:rsid w:val="005A67BB"/>
    <w:rsid w:val="005A740E"/>
    <w:rsid w:val="005A7C1D"/>
    <w:rsid w:val="005B0120"/>
    <w:rsid w:val="005B0BCC"/>
    <w:rsid w:val="005B2090"/>
    <w:rsid w:val="005B2A3B"/>
    <w:rsid w:val="005B2A9E"/>
    <w:rsid w:val="005B2AFE"/>
    <w:rsid w:val="005B39F8"/>
    <w:rsid w:val="005B3F4F"/>
    <w:rsid w:val="005B7750"/>
    <w:rsid w:val="005C24E7"/>
    <w:rsid w:val="005C2B4E"/>
    <w:rsid w:val="005C5E3B"/>
    <w:rsid w:val="005C663F"/>
    <w:rsid w:val="005C79E2"/>
    <w:rsid w:val="005D07B3"/>
    <w:rsid w:val="005D1611"/>
    <w:rsid w:val="005E0DCD"/>
    <w:rsid w:val="005E5234"/>
    <w:rsid w:val="005E7F3F"/>
    <w:rsid w:val="005F0C11"/>
    <w:rsid w:val="005F38E6"/>
    <w:rsid w:val="005F6CAA"/>
    <w:rsid w:val="005F70E8"/>
    <w:rsid w:val="00602DE5"/>
    <w:rsid w:val="0060451F"/>
    <w:rsid w:val="006049B5"/>
    <w:rsid w:val="006054BF"/>
    <w:rsid w:val="0060556C"/>
    <w:rsid w:val="00605FB9"/>
    <w:rsid w:val="006077DA"/>
    <w:rsid w:val="00613495"/>
    <w:rsid w:val="006138A9"/>
    <w:rsid w:val="00616699"/>
    <w:rsid w:val="00621264"/>
    <w:rsid w:val="006214F7"/>
    <w:rsid w:val="006217C9"/>
    <w:rsid w:val="006217CD"/>
    <w:rsid w:val="00622118"/>
    <w:rsid w:val="00622A7A"/>
    <w:rsid w:val="00623E84"/>
    <w:rsid w:val="00623F3E"/>
    <w:rsid w:val="00626C25"/>
    <w:rsid w:val="00632581"/>
    <w:rsid w:val="0063404D"/>
    <w:rsid w:val="00637C57"/>
    <w:rsid w:val="00640710"/>
    <w:rsid w:val="006416B6"/>
    <w:rsid w:val="00642967"/>
    <w:rsid w:val="00643764"/>
    <w:rsid w:val="00643964"/>
    <w:rsid w:val="00643C82"/>
    <w:rsid w:val="00655583"/>
    <w:rsid w:val="00657A43"/>
    <w:rsid w:val="00660860"/>
    <w:rsid w:val="00660BC7"/>
    <w:rsid w:val="0066177F"/>
    <w:rsid w:val="00661FD1"/>
    <w:rsid w:val="006631A6"/>
    <w:rsid w:val="006635EA"/>
    <w:rsid w:val="0066581C"/>
    <w:rsid w:val="0067037B"/>
    <w:rsid w:val="00670F37"/>
    <w:rsid w:val="00674510"/>
    <w:rsid w:val="0067548C"/>
    <w:rsid w:val="00677479"/>
    <w:rsid w:val="0068029A"/>
    <w:rsid w:val="006808A6"/>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5D41"/>
    <w:rsid w:val="006D6106"/>
    <w:rsid w:val="006D758E"/>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11AA5"/>
    <w:rsid w:val="00716B25"/>
    <w:rsid w:val="007227D3"/>
    <w:rsid w:val="00730BED"/>
    <w:rsid w:val="007327B6"/>
    <w:rsid w:val="00737112"/>
    <w:rsid w:val="007375F9"/>
    <w:rsid w:val="007377CC"/>
    <w:rsid w:val="0074093B"/>
    <w:rsid w:val="007418CF"/>
    <w:rsid w:val="007443AD"/>
    <w:rsid w:val="00745BA7"/>
    <w:rsid w:val="00745F2F"/>
    <w:rsid w:val="00746600"/>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2CCE"/>
    <w:rsid w:val="007B40A8"/>
    <w:rsid w:val="007B6642"/>
    <w:rsid w:val="007C5CDC"/>
    <w:rsid w:val="007C6633"/>
    <w:rsid w:val="007C6DEF"/>
    <w:rsid w:val="007C7C36"/>
    <w:rsid w:val="007D1C46"/>
    <w:rsid w:val="007D340E"/>
    <w:rsid w:val="007D5A8A"/>
    <w:rsid w:val="007D62CA"/>
    <w:rsid w:val="007D66C2"/>
    <w:rsid w:val="007D765B"/>
    <w:rsid w:val="007E0BFD"/>
    <w:rsid w:val="007E158B"/>
    <w:rsid w:val="007E20CA"/>
    <w:rsid w:val="007E58D8"/>
    <w:rsid w:val="007E715A"/>
    <w:rsid w:val="007F042D"/>
    <w:rsid w:val="007F0737"/>
    <w:rsid w:val="007F0940"/>
    <w:rsid w:val="007F19AC"/>
    <w:rsid w:val="007F1E62"/>
    <w:rsid w:val="007F24F6"/>
    <w:rsid w:val="007F2A0D"/>
    <w:rsid w:val="007F2A7E"/>
    <w:rsid w:val="007F552B"/>
    <w:rsid w:val="007F5E22"/>
    <w:rsid w:val="007F63EC"/>
    <w:rsid w:val="00800C47"/>
    <w:rsid w:val="00803F1B"/>
    <w:rsid w:val="008056A7"/>
    <w:rsid w:val="00805852"/>
    <w:rsid w:val="00805B22"/>
    <w:rsid w:val="00806DF1"/>
    <w:rsid w:val="00810805"/>
    <w:rsid w:val="00810F55"/>
    <w:rsid w:val="00811A91"/>
    <w:rsid w:val="008120D0"/>
    <w:rsid w:val="00814958"/>
    <w:rsid w:val="008149CF"/>
    <w:rsid w:val="00816CA5"/>
    <w:rsid w:val="00817FC3"/>
    <w:rsid w:val="00823E54"/>
    <w:rsid w:val="00824A4E"/>
    <w:rsid w:val="008254E7"/>
    <w:rsid w:val="0082573D"/>
    <w:rsid w:val="008300FF"/>
    <w:rsid w:val="0083477F"/>
    <w:rsid w:val="00837152"/>
    <w:rsid w:val="00837596"/>
    <w:rsid w:val="00840886"/>
    <w:rsid w:val="008408A0"/>
    <w:rsid w:val="00841E96"/>
    <w:rsid w:val="00846E88"/>
    <w:rsid w:val="008501A5"/>
    <w:rsid w:val="0085432A"/>
    <w:rsid w:val="00854ADE"/>
    <w:rsid w:val="008576F0"/>
    <w:rsid w:val="00857C89"/>
    <w:rsid w:val="00857FE1"/>
    <w:rsid w:val="008611F2"/>
    <w:rsid w:val="0086125A"/>
    <w:rsid w:val="00861E1F"/>
    <w:rsid w:val="00861EE2"/>
    <w:rsid w:val="00862598"/>
    <w:rsid w:val="00864151"/>
    <w:rsid w:val="00865C0D"/>
    <w:rsid w:val="00867F1E"/>
    <w:rsid w:val="008707CA"/>
    <w:rsid w:val="00870F40"/>
    <w:rsid w:val="00871650"/>
    <w:rsid w:val="00872A55"/>
    <w:rsid w:val="00873542"/>
    <w:rsid w:val="00880C71"/>
    <w:rsid w:val="0088117B"/>
    <w:rsid w:val="00882531"/>
    <w:rsid w:val="00885C4A"/>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4543"/>
    <w:rsid w:val="008D6580"/>
    <w:rsid w:val="008E1E2A"/>
    <w:rsid w:val="008E277B"/>
    <w:rsid w:val="008E3748"/>
    <w:rsid w:val="008E45DE"/>
    <w:rsid w:val="008E765D"/>
    <w:rsid w:val="008F49CF"/>
    <w:rsid w:val="008F733C"/>
    <w:rsid w:val="00904292"/>
    <w:rsid w:val="00910626"/>
    <w:rsid w:val="00910AC9"/>
    <w:rsid w:val="0091236B"/>
    <w:rsid w:val="009135EF"/>
    <w:rsid w:val="0091388D"/>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1E17"/>
    <w:rsid w:val="00942DC2"/>
    <w:rsid w:val="009433EF"/>
    <w:rsid w:val="00943770"/>
    <w:rsid w:val="0094465F"/>
    <w:rsid w:val="00947975"/>
    <w:rsid w:val="009550FA"/>
    <w:rsid w:val="00956CA1"/>
    <w:rsid w:val="00957FC8"/>
    <w:rsid w:val="0096020A"/>
    <w:rsid w:val="00960DBD"/>
    <w:rsid w:val="00960E8B"/>
    <w:rsid w:val="009618C6"/>
    <w:rsid w:val="0096652B"/>
    <w:rsid w:val="00967743"/>
    <w:rsid w:val="009700AC"/>
    <w:rsid w:val="00970E4B"/>
    <w:rsid w:val="0097162D"/>
    <w:rsid w:val="00973332"/>
    <w:rsid w:val="0097456F"/>
    <w:rsid w:val="0097473C"/>
    <w:rsid w:val="00974D3A"/>
    <w:rsid w:val="0097594A"/>
    <w:rsid w:val="00977B8C"/>
    <w:rsid w:val="00980419"/>
    <w:rsid w:val="00980D23"/>
    <w:rsid w:val="00983562"/>
    <w:rsid w:val="00985410"/>
    <w:rsid w:val="00985E2D"/>
    <w:rsid w:val="00986016"/>
    <w:rsid w:val="00990379"/>
    <w:rsid w:val="0099164F"/>
    <w:rsid w:val="00994467"/>
    <w:rsid w:val="00994538"/>
    <w:rsid w:val="009947E6"/>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C58D1"/>
    <w:rsid w:val="009C68C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0D43"/>
    <w:rsid w:val="00A0130C"/>
    <w:rsid w:val="00A013CD"/>
    <w:rsid w:val="00A027F4"/>
    <w:rsid w:val="00A0337F"/>
    <w:rsid w:val="00A055DB"/>
    <w:rsid w:val="00A0595F"/>
    <w:rsid w:val="00A11557"/>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05C9"/>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A514F"/>
    <w:rsid w:val="00AB27A7"/>
    <w:rsid w:val="00AB301E"/>
    <w:rsid w:val="00AB38D9"/>
    <w:rsid w:val="00AB7DAC"/>
    <w:rsid w:val="00AC1974"/>
    <w:rsid w:val="00AC2132"/>
    <w:rsid w:val="00AC4D0F"/>
    <w:rsid w:val="00AC57BB"/>
    <w:rsid w:val="00AC5B28"/>
    <w:rsid w:val="00AC6193"/>
    <w:rsid w:val="00AC685E"/>
    <w:rsid w:val="00AC6B12"/>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2EB7"/>
    <w:rsid w:val="00B1350C"/>
    <w:rsid w:val="00B13789"/>
    <w:rsid w:val="00B14591"/>
    <w:rsid w:val="00B15D33"/>
    <w:rsid w:val="00B162C3"/>
    <w:rsid w:val="00B22EA7"/>
    <w:rsid w:val="00B23D94"/>
    <w:rsid w:val="00B246E2"/>
    <w:rsid w:val="00B269DB"/>
    <w:rsid w:val="00B332D7"/>
    <w:rsid w:val="00B3342A"/>
    <w:rsid w:val="00B33A2A"/>
    <w:rsid w:val="00B37547"/>
    <w:rsid w:val="00B40DCF"/>
    <w:rsid w:val="00B41574"/>
    <w:rsid w:val="00B43C7B"/>
    <w:rsid w:val="00B4489A"/>
    <w:rsid w:val="00B4656E"/>
    <w:rsid w:val="00B47AB4"/>
    <w:rsid w:val="00B509ED"/>
    <w:rsid w:val="00B50BEF"/>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3F0B"/>
    <w:rsid w:val="00B840AB"/>
    <w:rsid w:val="00B84FE0"/>
    <w:rsid w:val="00B8611F"/>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577D"/>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2BE2"/>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29C2"/>
    <w:rsid w:val="00C86D95"/>
    <w:rsid w:val="00C87D36"/>
    <w:rsid w:val="00C903C3"/>
    <w:rsid w:val="00C9086C"/>
    <w:rsid w:val="00C91FF9"/>
    <w:rsid w:val="00C92F43"/>
    <w:rsid w:val="00C944E5"/>
    <w:rsid w:val="00C96FC0"/>
    <w:rsid w:val="00CA30D7"/>
    <w:rsid w:val="00CA4F90"/>
    <w:rsid w:val="00CB3AE8"/>
    <w:rsid w:val="00CB3EA3"/>
    <w:rsid w:val="00CB5D2C"/>
    <w:rsid w:val="00CC14E4"/>
    <w:rsid w:val="00CC2443"/>
    <w:rsid w:val="00CC24D9"/>
    <w:rsid w:val="00CD1675"/>
    <w:rsid w:val="00CD399D"/>
    <w:rsid w:val="00CD4642"/>
    <w:rsid w:val="00CD5308"/>
    <w:rsid w:val="00CE2266"/>
    <w:rsid w:val="00CE5E6E"/>
    <w:rsid w:val="00CE618F"/>
    <w:rsid w:val="00CE64D9"/>
    <w:rsid w:val="00CE6508"/>
    <w:rsid w:val="00CF5170"/>
    <w:rsid w:val="00CF77E7"/>
    <w:rsid w:val="00CF7E4F"/>
    <w:rsid w:val="00D023FE"/>
    <w:rsid w:val="00D0487F"/>
    <w:rsid w:val="00D101F0"/>
    <w:rsid w:val="00D1209D"/>
    <w:rsid w:val="00D122FC"/>
    <w:rsid w:val="00D13AEB"/>
    <w:rsid w:val="00D1405C"/>
    <w:rsid w:val="00D14674"/>
    <w:rsid w:val="00D14BFB"/>
    <w:rsid w:val="00D178DE"/>
    <w:rsid w:val="00D202DB"/>
    <w:rsid w:val="00D21A57"/>
    <w:rsid w:val="00D2210B"/>
    <w:rsid w:val="00D222CE"/>
    <w:rsid w:val="00D230B0"/>
    <w:rsid w:val="00D252DC"/>
    <w:rsid w:val="00D3737D"/>
    <w:rsid w:val="00D37406"/>
    <w:rsid w:val="00D377BF"/>
    <w:rsid w:val="00D4207E"/>
    <w:rsid w:val="00D44386"/>
    <w:rsid w:val="00D444F3"/>
    <w:rsid w:val="00D44E38"/>
    <w:rsid w:val="00D4554B"/>
    <w:rsid w:val="00D530AF"/>
    <w:rsid w:val="00D54B07"/>
    <w:rsid w:val="00D55776"/>
    <w:rsid w:val="00D60772"/>
    <w:rsid w:val="00D60B47"/>
    <w:rsid w:val="00D616FD"/>
    <w:rsid w:val="00D6281A"/>
    <w:rsid w:val="00D67B5A"/>
    <w:rsid w:val="00D719F3"/>
    <w:rsid w:val="00D721B4"/>
    <w:rsid w:val="00D74F18"/>
    <w:rsid w:val="00D81C3D"/>
    <w:rsid w:val="00D82223"/>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2C6B"/>
    <w:rsid w:val="00DA2D9E"/>
    <w:rsid w:val="00DA35CA"/>
    <w:rsid w:val="00DA4FC1"/>
    <w:rsid w:val="00DA70FF"/>
    <w:rsid w:val="00DB0CCF"/>
    <w:rsid w:val="00DB3818"/>
    <w:rsid w:val="00DB4518"/>
    <w:rsid w:val="00DB6B93"/>
    <w:rsid w:val="00DB6C2C"/>
    <w:rsid w:val="00DC0A4B"/>
    <w:rsid w:val="00DC0E9B"/>
    <w:rsid w:val="00DC21CC"/>
    <w:rsid w:val="00DC6244"/>
    <w:rsid w:val="00DC73F9"/>
    <w:rsid w:val="00DC7CCD"/>
    <w:rsid w:val="00DD19B7"/>
    <w:rsid w:val="00DD1D4B"/>
    <w:rsid w:val="00DD22BC"/>
    <w:rsid w:val="00DD41D2"/>
    <w:rsid w:val="00DE279C"/>
    <w:rsid w:val="00DE52B4"/>
    <w:rsid w:val="00DF14B1"/>
    <w:rsid w:val="00DF1A59"/>
    <w:rsid w:val="00DF35B5"/>
    <w:rsid w:val="00DF4B87"/>
    <w:rsid w:val="00DF5F69"/>
    <w:rsid w:val="00DF6F2C"/>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6EBF"/>
    <w:rsid w:val="00E17254"/>
    <w:rsid w:val="00E212BE"/>
    <w:rsid w:val="00E21FA4"/>
    <w:rsid w:val="00E22D24"/>
    <w:rsid w:val="00E22F24"/>
    <w:rsid w:val="00E2382F"/>
    <w:rsid w:val="00E24E5D"/>
    <w:rsid w:val="00E27C6A"/>
    <w:rsid w:val="00E3217C"/>
    <w:rsid w:val="00E36741"/>
    <w:rsid w:val="00E373AE"/>
    <w:rsid w:val="00E41597"/>
    <w:rsid w:val="00E4172D"/>
    <w:rsid w:val="00E4182E"/>
    <w:rsid w:val="00E452E9"/>
    <w:rsid w:val="00E50413"/>
    <w:rsid w:val="00E55935"/>
    <w:rsid w:val="00E57237"/>
    <w:rsid w:val="00E57F23"/>
    <w:rsid w:val="00E62506"/>
    <w:rsid w:val="00E63F89"/>
    <w:rsid w:val="00E64BFD"/>
    <w:rsid w:val="00E64C4D"/>
    <w:rsid w:val="00E64EBF"/>
    <w:rsid w:val="00E70383"/>
    <w:rsid w:val="00E709DB"/>
    <w:rsid w:val="00E70F83"/>
    <w:rsid w:val="00E75B4B"/>
    <w:rsid w:val="00E76A03"/>
    <w:rsid w:val="00E8016B"/>
    <w:rsid w:val="00E80617"/>
    <w:rsid w:val="00E8163D"/>
    <w:rsid w:val="00E81C28"/>
    <w:rsid w:val="00E85B61"/>
    <w:rsid w:val="00E87088"/>
    <w:rsid w:val="00E941F7"/>
    <w:rsid w:val="00E95E66"/>
    <w:rsid w:val="00E966C3"/>
    <w:rsid w:val="00E978E6"/>
    <w:rsid w:val="00E97D6F"/>
    <w:rsid w:val="00E97EB0"/>
    <w:rsid w:val="00EA21C9"/>
    <w:rsid w:val="00EA42FC"/>
    <w:rsid w:val="00EA5D2D"/>
    <w:rsid w:val="00EB170A"/>
    <w:rsid w:val="00EB2F55"/>
    <w:rsid w:val="00EB67DA"/>
    <w:rsid w:val="00EC29B6"/>
    <w:rsid w:val="00EC6399"/>
    <w:rsid w:val="00EC7B6C"/>
    <w:rsid w:val="00ED00C1"/>
    <w:rsid w:val="00ED059D"/>
    <w:rsid w:val="00ED11DD"/>
    <w:rsid w:val="00ED3579"/>
    <w:rsid w:val="00ED36C0"/>
    <w:rsid w:val="00ED5E81"/>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3875"/>
    <w:rsid w:val="00F25E3B"/>
    <w:rsid w:val="00F2738E"/>
    <w:rsid w:val="00F3016E"/>
    <w:rsid w:val="00F32B0B"/>
    <w:rsid w:val="00F34238"/>
    <w:rsid w:val="00F379AA"/>
    <w:rsid w:val="00F44761"/>
    <w:rsid w:val="00F46AB3"/>
    <w:rsid w:val="00F474B2"/>
    <w:rsid w:val="00F500A6"/>
    <w:rsid w:val="00F50369"/>
    <w:rsid w:val="00F50692"/>
    <w:rsid w:val="00F5173D"/>
    <w:rsid w:val="00F52276"/>
    <w:rsid w:val="00F52421"/>
    <w:rsid w:val="00F52FBF"/>
    <w:rsid w:val="00F5513A"/>
    <w:rsid w:val="00F565B8"/>
    <w:rsid w:val="00F575A7"/>
    <w:rsid w:val="00F60831"/>
    <w:rsid w:val="00F6132A"/>
    <w:rsid w:val="00F623FE"/>
    <w:rsid w:val="00F65AD3"/>
    <w:rsid w:val="00F70531"/>
    <w:rsid w:val="00F71128"/>
    <w:rsid w:val="00F71E53"/>
    <w:rsid w:val="00F72EFC"/>
    <w:rsid w:val="00F768AB"/>
    <w:rsid w:val="00F76A08"/>
    <w:rsid w:val="00F81D9A"/>
    <w:rsid w:val="00F85DCD"/>
    <w:rsid w:val="00F875D2"/>
    <w:rsid w:val="00F8775B"/>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656"/>
    <w:rsid w:val="00FC2F2E"/>
    <w:rsid w:val="00FC3A41"/>
    <w:rsid w:val="00FC4A8C"/>
    <w:rsid w:val="00FD314F"/>
    <w:rsid w:val="00FD3F68"/>
    <w:rsid w:val="00FD474D"/>
    <w:rsid w:val="00FD6099"/>
    <w:rsid w:val="00FD668C"/>
    <w:rsid w:val="00FD6BBF"/>
    <w:rsid w:val="00FD707C"/>
    <w:rsid w:val="00FE51BD"/>
    <w:rsid w:val="00FE5DC3"/>
    <w:rsid w:val="00FF0658"/>
    <w:rsid w:val="00FF1779"/>
    <w:rsid w:val="00FF1981"/>
    <w:rsid w:val="00FF2340"/>
    <w:rsid w:val="00FF60C7"/>
    <w:rsid w:val="00FF7392"/>
    <w:rsid w:val="023B43DC"/>
    <w:rsid w:val="0356630C"/>
    <w:rsid w:val="074D26E8"/>
    <w:rsid w:val="0FFB9B1E"/>
    <w:rsid w:val="13404ED0"/>
    <w:rsid w:val="13584DB5"/>
    <w:rsid w:val="17DF0D6E"/>
    <w:rsid w:val="1A7D41CF"/>
    <w:rsid w:val="1FD3237E"/>
    <w:rsid w:val="20CE4208"/>
    <w:rsid w:val="21CE0EBF"/>
    <w:rsid w:val="24485B15"/>
    <w:rsid w:val="27020950"/>
    <w:rsid w:val="27FEC349"/>
    <w:rsid w:val="2E5FD23A"/>
    <w:rsid w:val="2F4F0680"/>
    <w:rsid w:val="31CD275E"/>
    <w:rsid w:val="36EFBB40"/>
    <w:rsid w:val="37BFCAC6"/>
    <w:rsid w:val="39E3AE38"/>
    <w:rsid w:val="3A7E564F"/>
    <w:rsid w:val="3B6689F7"/>
    <w:rsid w:val="3BF606ED"/>
    <w:rsid w:val="3E83A634"/>
    <w:rsid w:val="3FF4E637"/>
    <w:rsid w:val="3FFBC560"/>
    <w:rsid w:val="4206128D"/>
    <w:rsid w:val="44401654"/>
    <w:rsid w:val="47765F18"/>
    <w:rsid w:val="48661C6B"/>
    <w:rsid w:val="48E716E0"/>
    <w:rsid w:val="4BB12688"/>
    <w:rsid w:val="51650C56"/>
    <w:rsid w:val="52FE2C8F"/>
    <w:rsid w:val="55FD3920"/>
    <w:rsid w:val="57FFB714"/>
    <w:rsid w:val="5B12286B"/>
    <w:rsid w:val="5BAE3879"/>
    <w:rsid w:val="5DCFCA23"/>
    <w:rsid w:val="5E5D10C2"/>
    <w:rsid w:val="5E9D5311"/>
    <w:rsid w:val="5FFDAE13"/>
    <w:rsid w:val="636B4362"/>
    <w:rsid w:val="64B86B45"/>
    <w:rsid w:val="64B955B9"/>
    <w:rsid w:val="6AE5FB4D"/>
    <w:rsid w:val="6F2C465B"/>
    <w:rsid w:val="6F7736D4"/>
    <w:rsid w:val="6FFA20C2"/>
    <w:rsid w:val="72A79964"/>
    <w:rsid w:val="77739B85"/>
    <w:rsid w:val="777EC26A"/>
    <w:rsid w:val="77B7902E"/>
    <w:rsid w:val="77F3479C"/>
    <w:rsid w:val="78F7C6EB"/>
    <w:rsid w:val="7CEFD4FB"/>
    <w:rsid w:val="7D164783"/>
    <w:rsid w:val="7DDDD2F0"/>
    <w:rsid w:val="7DF54FAB"/>
    <w:rsid w:val="7E7D9169"/>
    <w:rsid w:val="7E960D71"/>
    <w:rsid w:val="7F7F50D4"/>
    <w:rsid w:val="7FABFFFF"/>
    <w:rsid w:val="7FB3CAA1"/>
    <w:rsid w:val="7FBF91B4"/>
    <w:rsid w:val="7FC6836A"/>
    <w:rsid w:val="7FDBA5BC"/>
    <w:rsid w:val="7FFECF01"/>
    <w:rsid w:val="8D7F0DE8"/>
    <w:rsid w:val="8FBA8452"/>
    <w:rsid w:val="8FCF3742"/>
    <w:rsid w:val="9ED7C559"/>
    <w:rsid w:val="9F763BE6"/>
    <w:rsid w:val="9FDB7887"/>
    <w:rsid w:val="A8AD56C9"/>
    <w:rsid w:val="AF9D26AF"/>
    <w:rsid w:val="AF9F6277"/>
    <w:rsid w:val="AFB518BE"/>
    <w:rsid w:val="AFF71768"/>
    <w:rsid w:val="AFFFFCC9"/>
    <w:rsid w:val="B169D4A8"/>
    <w:rsid w:val="B73F9B36"/>
    <w:rsid w:val="B7FAE12E"/>
    <w:rsid w:val="BDEFA163"/>
    <w:rsid w:val="D6EE29F8"/>
    <w:rsid w:val="D7DBE5B2"/>
    <w:rsid w:val="D7F79808"/>
    <w:rsid w:val="DADBC965"/>
    <w:rsid w:val="DF7BD2F1"/>
    <w:rsid w:val="DF7F6E49"/>
    <w:rsid w:val="EA6F2F1C"/>
    <w:rsid w:val="EC9F4716"/>
    <w:rsid w:val="EFAA7232"/>
    <w:rsid w:val="EFBE7A2D"/>
    <w:rsid w:val="F4458CA0"/>
    <w:rsid w:val="F55B14E1"/>
    <w:rsid w:val="F5D7B612"/>
    <w:rsid w:val="F6F70FCE"/>
    <w:rsid w:val="F9BBD282"/>
    <w:rsid w:val="FB7F6C2D"/>
    <w:rsid w:val="FCBFDBB6"/>
    <w:rsid w:val="FDDB1D25"/>
    <w:rsid w:val="FDFE04A9"/>
    <w:rsid w:val="FEF982F7"/>
    <w:rsid w:val="FF378445"/>
    <w:rsid w:val="FF7FE977"/>
    <w:rsid w:val="FFAF37A4"/>
    <w:rsid w:val="FFDE0083"/>
    <w:rsid w:val="FFDFD7F5"/>
    <w:rsid w:val="FFF3EEC5"/>
    <w:rsid w:val="FFF6BEB4"/>
    <w:rsid w:val="FFF7BF2D"/>
    <w:rsid w:val="FFFF61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2"/>
    <w:uiPriority w:val="0"/>
    <w:pPr>
      <w:ind w:left="100" w:leftChars="2500"/>
    </w:pPr>
    <w:rPr>
      <w:rFonts w:ascii="仿宋_GB2312" w:eastAsia="仿宋_GB2312"/>
      <w:sz w:val="32"/>
    </w:rPr>
  </w:style>
  <w:style w:type="paragraph" w:styleId="4">
    <w:name w:val="Balloon Text"/>
    <w:basedOn w:val="1"/>
    <w:link w:val="13"/>
    <w:semiHidden/>
    <w:uiPriority w:val="0"/>
    <w:rPr>
      <w:sz w:val="18"/>
      <w:szCs w:val="18"/>
    </w:r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paragraph" w:customStyle="1" w:styleId="11">
    <w:name w:val="公文标题"/>
    <w:basedOn w:val="1"/>
    <w:qFormat/>
    <w:uiPriority w:val="0"/>
    <w:pPr>
      <w:spacing w:line="600" w:lineRule="exact"/>
      <w:jc w:val="center"/>
    </w:pPr>
    <w:rPr>
      <w:rFonts w:ascii="方正小标宋_GBK" w:hAnsi="Calibri" w:eastAsia="宋体" w:cs="宋体"/>
      <w:b/>
      <w:sz w:val="36"/>
      <w:szCs w:val="20"/>
      <w:lang w:bidi="ar-SA"/>
    </w:rPr>
  </w:style>
  <w:style w:type="character" w:customStyle="1" w:styleId="12">
    <w:name w:val=" Char Char2"/>
    <w:basedOn w:val="9"/>
    <w:link w:val="3"/>
    <w:uiPriority w:val="0"/>
    <w:rPr>
      <w:rFonts w:ascii="仿宋_GB2312" w:hAnsi="Times New Roman" w:eastAsia="仿宋_GB2312" w:cs="Times New Roman"/>
      <w:kern w:val="2"/>
      <w:sz w:val="32"/>
      <w:szCs w:val="24"/>
      <w:lang w:bidi="ar-SA"/>
    </w:rPr>
  </w:style>
  <w:style w:type="character" w:customStyle="1" w:styleId="13">
    <w:name w:val="批注框文本 Char"/>
    <w:link w:val="4"/>
    <w:uiPriority w:val="0"/>
    <w:rPr>
      <w:rFonts w:ascii="Times New Roman" w:hAnsi="Times New Roman" w:eastAsia="宋体" w:cs="Times New Roman"/>
      <w:sz w:val="18"/>
      <w:szCs w:val="18"/>
    </w:rPr>
  </w:style>
  <w:style w:type="character" w:customStyle="1" w:styleId="14">
    <w:name w:val=" Char Char"/>
    <w:basedOn w:val="9"/>
    <w:link w:val="5"/>
    <w:semiHidden/>
    <w:uiPriority w:val="99"/>
    <w:rPr>
      <w:rFonts w:ascii="Calibri" w:hAnsi="Calibri" w:eastAsia="宋体" w:cs="Mongolian Baiti"/>
      <w:kern w:val="2"/>
      <w:sz w:val="18"/>
      <w:szCs w:val="22"/>
    </w:rPr>
  </w:style>
  <w:style w:type="character" w:customStyle="1" w:styleId="15">
    <w:name w:val="页眉 Char"/>
    <w:link w:val="6"/>
    <w:uiPriority w:val="0"/>
    <w:rPr>
      <w:rFonts w:ascii="Times New Roman" w:hAnsi="Times New Roman" w:eastAsia="宋体" w:cs="Times New Roman"/>
      <w:kern w:val="2"/>
      <w:sz w:val="18"/>
      <w:szCs w:val="18"/>
    </w:rPr>
  </w:style>
  <w:style w:type="character" w:customStyle="1" w:styleId="16">
    <w:name w:val=" Char Char1"/>
    <w:basedOn w:val="9"/>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95</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2022-01-26T09:45:12Z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