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4" w:name="_GoBack"/>
      <w:bookmarkStart w:id="0" w:name="标题"/>
      <w:bookmarkEnd w:id="0"/>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pacing w:val="20"/>
          <w:sz w:val="44"/>
          <w:szCs w:val="44"/>
          <w:lang w:eastAsia="zh-CN"/>
        </w:rPr>
      </w:pPr>
      <w:r>
        <w:rPr>
          <w:rFonts w:hint="eastAsia" w:ascii="方正小标宋_GBK" w:hAnsi="方正小标宋_GBK" w:eastAsia="方正小标宋_GBK" w:cs="方正小标宋_GBK"/>
          <w:spacing w:val="20"/>
          <w:sz w:val="44"/>
          <w:szCs w:val="44"/>
          <w:lang w:eastAsia="zh-CN"/>
        </w:rPr>
        <w:t>开展全区第三次土壤普查的通知</w:t>
      </w:r>
    </w:p>
    <w:bookmarkEnd w:id="4"/>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pacing w:val="20"/>
          <w:sz w:val="44"/>
          <w:szCs w:val="44"/>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pacing w:val="20"/>
          <w:sz w:val="44"/>
          <w:szCs w:val="44"/>
          <w:lang w:eastAsia="zh-CN"/>
        </w:rPr>
      </w:pPr>
      <w:r>
        <w:rPr>
          <w:rFonts w:hint="eastAsia" w:ascii="仿宋_GB2312" w:hAnsi="华文仿宋" w:eastAsia="仿宋_GB2312"/>
          <w:sz w:val="32"/>
          <w:lang w:eastAsia="zh-CN"/>
        </w:rPr>
        <w:t>内政发〔2022〕11号</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各盟行政公署、市人民政府，各旗县人民政府，自治区各有关委、办、厅、局，各有关事业单位：</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按照党中央、国务院</w:t>
      </w:r>
      <w:r>
        <w:rPr>
          <w:rFonts w:hint="eastAsia" w:ascii="仿宋" w:hAnsi="仿宋" w:eastAsia="仿宋" w:cs="仿宋"/>
          <w:sz w:val="32"/>
          <w:szCs w:val="32"/>
          <w:lang w:eastAsia="zh-CN"/>
        </w:rPr>
        <w:t>有关</w:t>
      </w:r>
      <w:r>
        <w:rPr>
          <w:rFonts w:hint="eastAsia" w:ascii="仿宋" w:hAnsi="仿宋" w:eastAsia="仿宋" w:cs="仿宋"/>
          <w:sz w:val="32"/>
          <w:szCs w:val="32"/>
        </w:rPr>
        <w:t>决策部署和《国务院关于开展第三次土壤普查的通知》（国发〔2022〕4号）要求，为全面掌握全区土壤资源状况和土壤质量变化趋势等</w:t>
      </w:r>
      <w:r>
        <w:rPr>
          <w:rFonts w:hint="eastAsia" w:ascii="仿宋" w:hAnsi="仿宋" w:eastAsia="仿宋" w:cs="仿宋"/>
          <w:sz w:val="32"/>
          <w:szCs w:val="32"/>
          <w:lang w:eastAsia="zh-CN"/>
        </w:rPr>
        <w:t>情况</w:t>
      </w:r>
      <w:r>
        <w:rPr>
          <w:rFonts w:hint="eastAsia" w:ascii="仿宋" w:hAnsi="仿宋" w:eastAsia="仿宋" w:cs="仿宋"/>
          <w:sz w:val="32"/>
          <w:szCs w:val="32"/>
        </w:rPr>
        <w:t>，自治区人民政府决定</w:t>
      </w:r>
      <w:r>
        <w:rPr>
          <w:rFonts w:hint="eastAsia" w:ascii="仿宋" w:hAnsi="仿宋" w:eastAsia="仿宋" w:cs="仿宋"/>
          <w:sz w:val="32"/>
          <w:szCs w:val="32"/>
          <w:lang w:eastAsia="zh-CN"/>
        </w:rPr>
        <w:t>自</w:t>
      </w:r>
      <w:r>
        <w:rPr>
          <w:rFonts w:hint="eastAsia" w:ascii="仿宋" w:hAnsi="仿宋" w:eastAsia="仿宋" w:cs="仿宋"/>
          <w:sz w:val="32"/>
          <w:szCs w:val="32"/>
        </w:rPr>
        <w:t>2022年起组织开展全区第三次土壤普查。现将有关</w:t>
      </w:r>
      <w:r>
        <w:rPr>
          <w:rFonts w:hint="eastAsia" w:ascii="仿宋" w:hAnsi="仿宋" w:eastAsia="仿宋" w:cs="仿宋"/>
          <w:sz w:val="32"/>
          <w:szCs w:val="32"/>
          <w:lang w:eastAsia="zh-CN"/>
        </w:rPr>
        <w:t>事宜</w:t>
      </w:r>
      <w:r>
        <w:rPr>
          <w:rFonts w:hint="eastAsia" w:ascii="仿宋" w:hAnsi="仿宋" w:eastAsia="仿宋" w:cs="仿宋"/>
          <w:sz w:val="32"/>
          <w:szCs w:val="32"/>
        </w:rPr>
        <w:t>通知如下：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一、普查总体要求</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以习近平新时代中国特色社会主义思想为指导，全面贯彻党的十九大和十九届历</w:t>
      </w:r>
      <w:r>
        <w:rPr>
          <w:rFonts w:hint="eastAsia" w:ascii="仿宋" w:hAnsi="仿宋" w:eastAsia="仿宋" w:cs="仿宋"/>
          <w:spacing w:val="6"/>
          <w:sz w:val="32"/>
          <w:szCs w:val="32"/>
        </w:rPr>
        <w:t>次全会精神，遵循全面性、科学性、专业性原则，衔接已有成果，按照“统一领导、部门协作、分级负责、各方参与”的要求，全面查明查清我区土壤类型及分布规律、土壤资源现状及变化趋势，真实准确掌握土壤质量、性状和利用状况等，全面提升土壤资源保护和利用水平，为守住耕地红线、优化农</w:t>
      </w:r>
      <w:r>
        <w:rPr>
          <w:rFonts w:hint="eastAsia" w:ascii="仿宋" w:hAnsi="仿宋" w:eastAsia="仿宋" w:cs="仿宋"/>
          <w:spacing w:val="6"/>
          <w:sz w:val="32"/>
          <w:szCs w:val="32"/>
          <w:lang w:eastAsia="zh-CN"/>
        </w:rPr>
        <w:t>牧业</w:t>
      </w:r>
      <w:r>
        <w:rPr>
          <w:rFonts w:hint="eastAsia" w:ascii="仿宋" w:hAnsi="仿宋" w:eastAsia="仿宋" w:cs="仿宋"/>
          <w:spacing w:val="6"/>
          <w:sz w:val="32"/>
          <w:szCs w:val="32"/>
        </w:rPr>
        <w:t>生产布局、确保国家粮食安全奠定坚实基础，为加快农</w:t>
      </w:r>
      <w:r>
        <w:rPr>
          <w:rFonts w:hint="eastAsia" w:ascii="仿宋" w:hAnsi="仿宋" w:eastAsia="仿宋" w:cs="仿宋"/>
          <w:spacing w:val="6"/>
          <w:sz w:val="32"/>
          <w:szCs w:val="32"/>
          <w:lang w:eastAsia="zh-CN"/>
        </w:rPr>
        <w:t>牧</w:t>
      </w:r>
      <w:r>
        <w:rPr>
          <w:rFonts w:hint="eastAsia" w:ascii="仿宋" w:hAnsi="仿宋" w:eastAsia="仿宋" w:cs="仿宋"/>
          <w:spacing w:val="6"/>
          <w:sz w:val="32"/>
          <w:szCs w:val="32"/>
        </w:rPr>
        <w:t>业</w:t>
      </w:r>
      <w:r>
        <w:rPr>
          <w:rFonts w:hint="eastAsia" w:ascii="仿宋" w:hAnsi="仿宋" w:eastAsia="仿宋" w:cs="仿宋"/>
          <w:spacing w:val="6"/>
          <w:sz w:val="32"/>
          <w:szCs w:val="32"/>
          <w:lang w:eastAsia="zh-CN"/>
        </w:rPr>
        <w:t>和</w:t>
      </w:r>
      <w:r>
        <w:rPr>
          <w:rFonts w:hint="eastAsia" w:ascii="仿宋" w:hAnsi="仿宋" w:eastAsia="仿宋" w:cs="仿宋"/>
          <w:spacing w:val="6"/>
          <w:sz w:val="32"/>
          <w:szCs w:val="32"/>
        </w:rPr>
        <w:t>农村</w:t>
      </w:r>
      <w:r>
        <w:rPr>
          <w:rFonts w:hint="eastAsia" w:ascii="仿宋" w:hAnsi="仿宋" w:eastAsia="仿宋" w:cs="仿宋"/>
          <w:spacing w:val="6"/>
          <w:sz w:val="32"/>
          <w:szCs w:val="32"/>
          <w:lang w:eastAsia="zh-CN"/>
        </w:rPr>
        <w:t>牧区</w:t>
      </w:r>
      <w:r>
        <w:rPr>
          <w:rFonts w:hint="eastAsia" w:ascii="仿宋" w:hAnsi="仿宋" w:eastAsia="仿宋" w:cs="仿宋"/>
          <w:spacing w:val="6"/>
          <w:sz w:val="32"/>
          <w:szCs w:val="32"/>
        </w:rPr>
        <w:t>现代化、全面推进乡村振兴、促进生态文明建设提供有力支撑</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二、普查对象与内容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64" w:firstLineChars="200"/>
        <w:textAlignment w:val="auto"/>
        <w:outlineLvl w:val="9"/>
        <w:rPr>
          <w:rFonts w:hint="eastAsia" w:ascii="仿宋" w:hAnsi="仿宋" w:eastAsia="仿宋" w:cs="仿宋"/>
          <w:sz w:val="32"/>
          <w:szCs w:val="32"/>
        </w:rPr>
      </w:pPr>
      <w:r>
        <w:rPr>
          <w:rFonts w:hint="eastAsia" w:ascii="仿宋" w:hAnsi="仿宋" w:eastAsia="仿宋" w:cs="仿宋"/>
          <w:spacing w:val="6"/>
          <w:sz w:val="32"/>
          <w:szCs w:val="32"/>
        </w:rPr>
        <w:t>普查对象为全区耕地、园地、林地、草地等农用地和部分未利用地的土壤。其中，林地、草地重点调查与食物生产相关的土地，未利用地重点调查与可开垦耕地资源相关的土地，如盐碱地等</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64" w:firstLineChars="200"/>
        <w:textAlignment w:val="auto"/>
        <w:outlineLvl w:val="9"/>
        <w:rPr>
          <w:rFonts w:hint="eastAsia" w:ascii="仿宋" w:hAnsi="仿宋" w:eastAsia="仿宋" w:cs="仿宋"/>
          <w:spacing w:val="6"/>
          <w:sz w:val="32"/>
          <w:szCs w:val="32"/>
        </w:rPr>
      </w:pPr>
      <w:r>
        <w:rPr>
          <w:rFonts w:hint="eastAsia" w:ascii="仿宋" w:hAnsi="仿宋" w:eastAsia="仿宋" w:cs="仿宋"/>
          <w:spacing w:val="6"/>
          <w:sz w:val="32"/>
          <w:szCs w:val="32"/>
        </w:rPr>
        <w:t>普查内容包括四个方面：</w:t>
      </w:r>
      <w:r>
        <w:rPr>
          <w:rFonts w:hint="eastAsia" w:ascii="仿宋" w:hAnsi="仿宋" w:eastAsia="仿宋" w:cs="仿宋"/>
          <w:b w:val="0"/>
          <w:bCs w:val="0"/>
          <w:spacing w:val="6"/>
          <w:sz w:val="32"/>
          <w:szCs w:val="32"/>
        </w:rPr>
        <w:t>一是土壤性状普查，</w:t>
      </w:r>
      <w:r>
        <w:rPr>
          <w:rFonts w:hint="eastAsia" w:ascii="仿宋" w:hAnsi="仿宋" w:eastAsia="仿宋" w:cs="仿宋"/>
          <w:spacing w:val="6"/>
          <w:sz w:val="32"/>
          <w:szCs w:val="32"/>
        </w:rPr>
        <w:t>包括野外土壤表层样品采集和土壤理化</w:t>
      </w:r>
      <w:r>
        <w:rPr>
          <w:rFonts w:hint="eastAsia" w:ascii="仿宋" w:hAnsi="仿宋" w:eastAsia="仿宋" w:cs="仿宋"/>
          <w:spacing w:val="6"/>
          <w:sz w:val="32"/>
          <w:szCs w:val="32"/>
          <w:lang w:eastAsia="zh-CN"/>
        </w:rPr>
        <w:t>性状</w:t>
      </w:r>
      <w:r>
        <w:rPr>
          <w:rFonts w:hint="eastAsia" w:ascii="仿宋" w:hAnsi="仿宋" w:eastAsia="仿宋" w:cs="仿宋"/>
          <w:spacing w:val="6"/>
          <w:sz w:val="32"/>
          <w:szCs w:val="32"/>
        </w:rPr>
        <w:t>、生物性状指标分析化验等</w:t>
      </w:r>
      <w:r>
        <w:rPr>
          <w:rFonts w:hint="eastAsia" w:ascii="仿宋" w:hAnsi="仿宋" w:eastAsia="仿宋" w:cs="仿宋"/>
          <w:b w:val="0"/>
          <w:bCs w:val="0"/>
          <w:spacing w:val="6"/>
          <w:sz w:val="32"/>
          <w:szCs w:val="32"/>
        </w:rPr>
        <w:t>；二是土壤类型普查，</w:t>
      </w:r>
      <w:r>
        <w:rPr>
          <w:rFonts w:hint="eastAsia" w:ascii="仿宋" w:hAnsi="仿宋" w:eastAsia="仿宋" w:cs="仿宋"/>
          <w:spacing w:val="6"/>
          <w:sz w:val="32"/>
          <w:szCs w:val="32"/>
        </w:rPr>
        <w:t>包括对主要土壤类型的剖面挖掘观测、采样化验等，补充完善土壤类型；</w:t>
      </w:r>
      <w:r>
        <w:rPr>
          <w:rFonts w:hint="eastAsia" w:ascii="仿宋" w:hAnsi="仿宋" w:eastAsia="仿宋" w:cs="仿宋"/>
          <w:b w:val="0"/>
          <w:bCs w:val="0"/>
          <w:spacing w:val="6"/>
          <w:sz w:val="32"/>
          <w:szCs w:val="32"/>
        </w:rPr>
        <w:t>三是土壤立地条件普查，</w:t>
      </w:r>
      <w:r>
        <w:rPr>
          <w:rFonts w:hint="eastAsia" w:ascii="仿宋" w:hAnsi="仿宋" w:eastAsia="仿宋" w:cs="仿宋"/>
          <w:spacing w:val="6"/>
          <w:sz w:val="32"/>
          <w:szCs w:val="32"/>
        </w:rPr>
        <w:t>包括地形地貌、植被类型、气候、水文地质等；</w:t>
      </w:r>
      <w:r>
        <w:rPr>
          <w:rFonts w:hint="eastAsia" w:ascii="仿宋" w:hAnsi="仿宋" w:eastAsia="仿宋" w:cs="仿宋"/>
          <w:b w:val="0"/>
          <w:bCs w:val="0"/>
          <w:spacing w:val="6"/>
          <w:sz w:val="32"/>
          <w:szCs w:val="32"/>
        </w:rPr>
        <w:t>四是土壤利用状况普查，</w:t>
      </w:r>
      <w:r>
        <w:rPr>
          <w:rFonts w:hint="eastAsia" w:ascii="仿宋" w:hAnsi="仿宋" w:eastAsia="仿宋" w:cs="仿宋"/>
          <w:spacing w:val="6"/>
          <w:sz w:val="32"/>
          <w:szCs w:val="32"/>
        </w:rPr>
        <w:t>包括基础设施条件、种植制度、农</w:t>
      </w:r>
      <w:r>
        <w:rPr>
          <w:rFonts w:hint="eastAsia" w:ascii="仿宋" w:hAnsi="仿宋" w:eastAsia="仿宋" w:cs="仿宋"/>
          <w:spacing w:val="6"/>
          <w:sz w:val="32"/>
          <w:szCs w:val="32"/>
          <w:lang w:eastAsia="zh-CN"/>
        </w:rPr>
        <w:t>牧</w:t>
      </w:r>
      <w:r>
        <w:rPr>
          <w:rFonts w:hint="eastAsia" w:ascii="仿宋" w:hAnsi="仿宋" w:eastAsia="仿宋" w:cs="仿宋"/>
          <w:spacing w:val="6"/>
          <w:sz w:val="32"/>
          <w:szCs w:val="32"/>
        </w:rPr>
        <w:t>业生产水平等。</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三、普查时间安排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2022年，制定全区土壤普查实施方案、年度试点方案和盐碱地普查方案；组织呼伦贝尔市扎兰屯市、通辽市科尔沁左翼中旗、赤峰市巴林右旗、乌兰察布市察哈尔右翼前旗、巴彦淖尔市五原县完成试点普查任务；启动并完成全区盐碱地普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2023-2024年，全面开展普查工作，组织开展多层级技术实训指导，完成外业调查采样和内业测试化验，开展土壤普查数据库与样品库建设，形成阶段性成果。外业调查采样、内业测试化验时间截至2024年11月</w:t>
      </w:r>
      <w:r>
        <w:rPr>
          <w:rFonts w:hint="eastAsia" w:ascii="仿宋" w:hAnsi="仿宋" w:eastAsia="仿宋" w:cs="仿宋"/>
          <w:sz w:val="32"/>
          <w:szCs w:val="32"/>
          <w:lang w:eastAsia="zh-CN"/>
        </w:rPr>
        <w:t>底</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上半年</w:t>
      </w:r>
      <w:r>
        <w:rPr>
          <w:rFonts w:hint="eastAsia" w:ascii="仿宋" w:hAnsi="仿宋" w:eastAsia="仿宋" w:cs="仿宋"/>
          <w:sz w:val="32"/>
          <w:szCs w:val="32"/>
        </w:rPr>
        <w:t>，完成普查成果整理、数据审核、录入等工作，汇总形成第三次全</w:t>
      </w:r>
      <w:r>
        <w:rPr>
          <w:rFonts w:hint="eastAsia" w:ascii="仿宋" w:hAnsi="仿宋" w:eastAsia="仿宋" w:cs="仿宋"/>
          <w:sz w:val="32"/>
          <w:szCs w:val="32"/>
          <w:lang w:eastAsia="zh-CN"/>
        </w:rPr>
        <w:t>区</w:t>
      </w:r>
      <w:r>
        <w:rPr>
          <w:rFonts w:hint="eastAsia" w:ascii="仿宋" w:hAnsi="仿宋" w:eastAsia="仿宋" w:cs="仿宋"/>
          <w:sz w:val="32"/>
          <w:szCs w:val="32"/>
        </w:rPr>
        <w:t>土壤普查基本数据；</w:t>
      </w:r>
      <w:r>
        <w:rPr>
          <w:rFonts w:hint="eastAsia" w:ascii="仿宋" w:hAnsi="仿宋" w:eastAsia="仿宋" w:cs="仿宋"/>
          <w:sz w:val="32"/>
          <w:szCs w:val="32"/>
          <w:lang w:val="en-US" w:eastAsia="zh-CN"/>
        </w:rPr>
        <w:t>下半年</w:t>
      </w:r>
      <w:r>
        <w:rPr>
          <w:rFonts w:hint="eastAsia" w:ascii="仿宋" w:hAnsi="仿宋" w:eastAsia="仿宋" w:cs="仿宋"/>
          <w:sz w:val="32"/>
          <w:szCs w:val="32"/>
        </w:rPr>
        <w:t>，完成普查成果验收、汇交与总结，建成土壤普查数据库与样品库，形成全</w:t>
      </w:r>
      <w:r>
        <w:rPr>
          <w:rFonts w:hint="eastAsia" w:ascii="仿宋" w:hAnsi="仿宋" w:eastAsia="仿宋" w:cs="仿宋"/>
          <w:sz w:val="32"/>
          <w:szCs w:val="32"/>
          <w:lang w:eastAsia="zh-CN"/>
        </w:rPr>
        <w:t>区</w:t>
      </w:r>
      <w:r>
        <w:rPr>
          <w:rFonts w:hint="eastAsia" w:ascii="仿宋" w:hAnsi="仿宋" w:eastAsia="仿宋" w:cs="仿宋"/>
          <w:sz w:val="32"/>
          <w:szCs w:val="32"/>
        </w:rPr>
        <w:t>耕地质量报告和全</w:t>
      </w:r>
      <w:r>
        <w:rPr>
          <w:rFonts w:hint="eastAsia" w:ascii="仿宋" w:hAnsi="仿宋" w:eastAsia="仿宋" w:cs="仿宋"/>
          <w:sz w:val="32"/>
          <w:szCs w:val="32"/>
          <w:lang w:eastAsia="zh-CN"/>
        </w:rPr>
        <w:t>区</w:t>
      </w:r>
      <w:r>
        <w:rPr>
          <w:rFonts w:hint="eastAsia" w:ascii="仿宋" w:hAnsi="仿宋" w:eastAsia="仿宋" w:cs="仿宋"/>
          <w:sz w:val="32"/>
          <w:szCs w:val="32"/>
        </w:rPr>
        <w:t>土壤利用适宜性评价报告。</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四、普查组织实施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rPr>
        <w:t>土壤普查是一项重要的国情国力调查，涉及范围广、参与部门多、工作任务重、技术要求高。为加强组织领导，成立自治区第三次土壤普查领导小组（以下简称领导小组），负责普查组织实施中重大问题的研究和决策。领导小组办公室</w:t>
      </w:r>
      <w:r>
        <w:rPr>
          <w:rFonts w:hint="eastAsia" w:ascii="仿宋" w:hAnsi="仿宋" w:eastAsia="仿宋" w:cs="仿宋"/>
          <w:b w:val="0"/>
          <w:bCs w:val="0"/>
          <w:sz w:val="32"/>
          <w:szCs w:val="32"/>
        </w:rPr>
        <w:t>设在自治区农牧厅，负责普查工作的具体组织实施和协调</w:t>
      </w:r>
      <w:r>
        <w:rPr>
          <w:rFonts w:hint="eastAsia" w:ascii="仿宋" w:hAnsi="仿宋" w:eastAsia="仿宋" w:cs="仿宋"/>
          <w:b w:val="0"/>
          <w:bCs w:val="0"/>
          <w:sz w:val="32"/>
          <w:szCs w:val="32"/>
          <w:lang w:eastAsia="zh-CN"/>
        </w:rPr>
        <w:t>。办公室</w:t>
      </w:r>
      <w:r>
        <w:rPr>
          <w:rFonts w:hint="eastAsia" w:ascii="仿宋" w:hAnsi="仿宋" w:eastAsia="仿宋" w:cs="仿宋"/>
          <w:b w:val="0"/>
          <w:bCs w:val="0"/>
          <w:sz w:val="32"/>
          <w:szCs w:val="32"/>
        </w:rPr>
        <w:t>下设综合协调组、</w:t>
      </w:r>
      <w:r>
        <w:rPr>
          <w:rFonts w:hint="eastAsia" w:ascii="仿宋" w:hAnsi="仿宋" w:eastAsia="仿宋" w:cs="仿宋"/>
          <w:b w:val="0"/>
          <w:bCs w:val="0"/>
          <w:sz w:val="32"/>
          <w:szCs w:val="32"/>
          <w:lang w:eastAsia="zh-CN"/>
        </w:rPr>
        <w:t>普查</w:t>
      </w:r>
      <w:r>
        <w:rPr>
          <w:rFonts w:hint="eastAsia" w:ascii="仿宋" w:hAnsi="仿宋" w:eastAsia="仿宋" w:cs="仿宋"/>
          <w:b w:val="0"/>
          <w:bCs w:val="0"/>
          <w:sz w:val="32"/>
          <w:szCs w:val="32"/>
        </w:rPr>
        <w:t>技术组、专家</w:t>
      </w:r>
      <w:r>
        <w:rPr>
          <w:rFonts w:hint="eastAsia" w:ascii="仿宋" w:hAnsi="仿宋" w:eastAsia="仿宋" w:cs="仿宋"/>
          <w:b w:val="0"/>
          <w:bCs w:val="0"/>
          <w:sz w:val="32"/>
          <w:szCs w:val="32"/>
          <w:lang w:eastAsia="zh-CN"/>
        </w:rPr>
        <w:t>咨询</w:t>
      </w:r>
      <w:r>
        <w:rPr>
          <w:rFonts w:hint="eastAsia" w:ascii="仿宋" w:hAnsi="仿宋" w:eastAsia="仿宋" w:cs="仿宋"/>
          <w:b w:val="0"/>
          <w:bCs w:val="0"/>
          <w:sz w:val="32"/>
          <w:szCs w:val="32"/>
        </w:rPr>
        <w:t>组，其中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综合协调组由自治区农牧厅、</w:t>
      </w:r>
      <w:r>
        <w:rPr>
          <w:rFonts w:hint="eastAsia" w:ascii="仿宋" w:hAnsi="仿宋" w:eastAsia="仿宋" w:cs="仿宋"/>
          <w:b w:val="0"/>
          <w:bCs w:val="0"/>
          <w:sz w:val="32"/>
          <w:szCs w:val="32"/>
          <w:highlight w:val="none"/>
        </w:rPr>
        <w:t>发展改革委</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财政厅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自然资源厅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生态环境厅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水利厅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林草局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统计局</w:t>
      </w:r>
      <w:r>
        <w:rPr>
          <w:rFonts w:hint="eastAsia" w:ascii="仿宋" w:hAnsi="仿宋" w:eastAsia="仿宋" w:cs="仿宋"/>
          <w:b w:val="0"/>
          <w:bCs w:val="0"/>
          <w:sz w:val="32"/>
          <w:szCs w:val="32"/>
          <w:highlight w:val="none"/>
          <w:lang w:eastAsia="zh-CN"/>
        </w:rPr>
        <w:t>等部门相关处室及农</w:t>
      </w:r>
      <w:r>
        <w:rPr>
          <w:rFonts w:hint="eastAsia" w:ascii="仿宋" w:hAnsi="仿宋" w:eastAsia="仿宋" w:cs="仿宋"/>
          <w:b w:val="0"/>
          <w:bCs w:val="0"/>
          <w:color w:val="auto"/>
          <w:sz w:val="32"/>
          <w:szCs w:val="32"/>
          <w:highlight w:val="none"/>
          <w:lang w:eastAsia="zh-CN"/>
        </w:rPr>
        <w:t>牧业技术推广中心、耕地质量监测保护中心主要</w:t>
      </w:r>
      <w:r>
        <w:rPr>
          <w:rFonts w:hint="eastAsia" w:ascii="仿宋" w:hAnsi="仿宋" w:eastAsia="仿宋" w:cs="仿宋"/>
          <w:b w:val="0"/>
          <w:bCs w:val="0"/>
          <w:color w:val="auto"/>
          <w:sz w:val="32"/>
          <w:szCs w:val="32"/>
          <w:highlight w:val="none"/>
        </w:rPr>
        <w:t>负责人组成，负责工作统筹、人员调度、组织协调、资金筹措等；</w:t>
      </w:r>
      <w:r>
        <w:rPr>
          <w:rFonts w:hint="eastAsia" w:ascii="仿宋" w:hAnsi="仿宋" w:eastAsia="仿宋" w:cs="仿宋"/>
          <w:b w:val="0"/>
          <w:bCs w:val="0"/>
          <w:color w:val="auto"/>
          <w:sz w:val="32"/>
          <w:szCs w:val="32"/>
          <w:highlight w:val="none"/>
          <w:lang w:eastAsia="zh-CN"/>
        </w:rPr>
        <w:t>普查</w:t>
      </w:r>
      <w:r>
        <w:rPr>
          <w:rFonts w:hint="eastAsia" w:ascii="仿宋" w:hAnsi="仿宋" w:eastAsia="仿宋" w:cs="仿宋"/>
          <w:b w:val="0"/>
          <w:bCs w:val="0"/>
          <w:color w:val="auto"/>
          <w:sz w:val="32"/>
          <w:szCs w:val="32"/>
          <w:highlight w:val="none"/>
        </w:rPr>
        <w:t>技术组由自治区农牧厅、</w:t>
      </w:r>
      <w:r>
        <w:rPr>
          <w:rFonts w:hint="eastAsia" w:ascii="仿宋" w:hAnsi="仿宋" w:eastAsia="仿宋" w:cs="仿宋"/>
          <w:b w:val="0"/>
          <w:bCs w:val="0"/>
          <w:color w:val="auto"/>
          <w:sz w:val="32"/>
          <w:szCs w:val="32"/>
          <w:highlight w:val="none"/>
          <w:lang w:eastAsia="zh-CN"/>
        </w:rPr>
        <w:t>自然资源厅、水利厅、</w:t>
      </w:r>
      <w:r>
        <w:rPr>
          <w:rFonts w:hint="eastAsia" w:ascii="仿宋" w:hAnsi="仿宋" w:eastAsia="仿宋" w:cs="仿宋"/>
          <w:b w:val="0"/>
          <w:bCs w:val="0"/>
          <w:color w:val="auto"/>
          <w:sz w:val="32"/>
          <w:szCs w:val="32"/>
          <w:highlight w:val="none"/>
        </w:rPr>
        <w:t>林草局、农牧业科学院</w:t>
      </w:r>
      <w:r>
        <w:rPr>
          <w:rFonts w:hint="eastAsia" w:ascii="仿宋" w:hAnsi="仿宋" w:eastAsia="仿宋" w:cs="仿宋"/>
          <w:b w:val="0"/>
          <w:bCs w:val="0"/>
          <w:color w:val="auto"/>
          <w:sz w:val="32"/>
          <w:szCs w:val="32"/>
          <w:highlight w:val="none"/>
          <w:lang w:eastAsia="zh-CN"/>
        </w:rPr>
        <w:t>，内蒙古</w:t>
      </w:r>
      <w:r>
        <w:rPr>
          <w:rFonts w:hint="eastAsia" w:ascii="仿宋" w:hAnsi="仿宋" w:eastAsia="仿宋" w:cs="仿宋"/>
          <w:b w:val="0"/>
          <w:bCs w:val="0"/>
          <w:color w:val="auto"/>
          <w:sz w:val="32"/>
          <w:szCs w:val="32"/>
          <w:highlight w:val="none"/>
        </w:rPr>
        <w:t>农业大学等</w:t>
      </w:r>
      <w:r>
        <w:rPr>
          <w:rFonts w:hint="eastAsia" w:ascii="仿宋" w:hAnsi="仿宋" w:eastAsia="仿宋" w:cs="仿宋"/>
          <w:b w:val="0"/>
          <w:bCs w:val="0"/>
          <w:color w:val="auto"/>
          <w:sz w:val="32"/>
          <w:szCs w:val="32"/>
          <w:highlight w:val="none"/>
          <w:lang w:eastAsia="zh-CN"/>
        </w:rPr>
        <w:t>部门、</w:t>
      </w:r>
      <w:r>
        <w:rPr>
          <w:rFonts w:hint="eastAsia" w:ascii="仿宋" w:hAnsi="仿宋" w:eastAsia="仿宋" w:cs="仿宋"/>
          <w:b w:val="0"/>
          <w:bCs w:val="0"/>
          <w:color w:val="auto"/>
          <w:sz w:val="32"/>
          <w:szCs w:val="32"/>
          <w:highlight w:val="none"/>
        </w:rPr>
        <w:t>单位相关技术人员组成，进一步细化分工，分别负责全区林草地、耕地（含园地）土壤、未利用地（重点盐碱地）土壤普查的具体实施工作；专家</w:t>
      </w:r>
      <w:r>
        <w:rPr>
          <w:rFonts w:hint="eastAsia" w:ascii="仿宋" w:hAnsi="仿宋" w:eastAsia="仿宋" w:cs="仿宋"/>
          <w:b w:val="0"/>
          <w:bCs w:val="0"/>
          <w:color w:val="auto"/>
          <w:sz w:val="32"/>
          <w:szCs w:val="32"/>
          <w:highlight w:val="none"/>
          <w:lang w:eastAsia="zh-CN"/>
        </w:rPr>
        <w:t>咨询</w:t>
      </w:r>
      <w:r>
        <w:rPr>
          <w:rFonts w:hint="eastAsia" w:ascii="仿宋" w:hAnsi="仿宋" w:eastAsia="仿宋" w:cs="仿宋"/>
          <w:b w:val="0"/>
          <w:bCs w:val="0"/>
          <w:color w:val="auto"/>
          <w:sz w:val="32"/>
          <w:szCs w:val="32"/>
          <w:highlight w:val="none"/>
        </w:rPr>
        <w:t>组由具</w:t>
      </w:r>
      <w:r>
        <w:rPr>
          <w:rFonts w:hint="eastAsia" w:ascii="仿宋" w:hAnsi="仿宋" w:eastAsia="仿宋" w:cs="仿宋"/>
          <w:color w:val="auto"/>
          <w:sz w:val="32"/>
          <w:szCs w:val="32"/>
          <w:highlight w:val="none"/>
        </w:rPr>
        <w:t>备丰富实践经验和相关专业知识的专家组成，负责审查相关方案、解决工作中的难点问题、技术培训、实地指导等。办公室各</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rPr>
        <w:t>组</w:t>
      </w:r>
      <w:r>
        <w:rPr>
          <w:rFonts w:hint="eastAsia" w:ascii="仿宋" w:hAnsi="仿宋" w:eastAsia="仿宋" w:cs="仿宋"/>
          <w:color w:val="auto"/>
          <w:sz w:val="32"/>
          <w:szCs w:val="32"/>
          <w:highlight w:val="none"/>
          <w:lang w:eastAsia="zh-CN"/>
        </w:rPr>
        <w:t>要</w:t>
      </w:r>
      <w:r>
        <w:rPr>
          <w:rFonts w:hint="eastAsia" w:ascii="仿宋" w:hAnsi="仿宋" w:eastAsia="仿宋" w:cs="仿宋"/>
          <w:color w:val="auto"/>
          <w:sz w:val="32"/>
          <w:szCs w:val="32"/>
          <w:highlight w:val="none"/>
        </w:rPr>
        <w:t>各司其职</w:t>
      </w:r>
      <w:r>
        <w:rPr>
          <w:rFonts w:hint="eastAsia" w:ascii="仿宋" w:hAnsi="仿宋" w:eastAsia="仿宋" w:cs="仿宋"/>
          <w:color w:val="auto"/>
          <w:sz w:val="32"/>
          <w:szCs w:val="32"/>
        </w:rPr>
        <w:t>、各负其责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通力协作、密切配合，确保高质量完成普查任务。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FF0000"/>
          <w:sz w:val="32"/>
          <w:szCs w:val="32"/>
        </w:rPr>
      </w:pPr>
      <w:r>
        <w:rPr>
          <w:rFonts w:hint="eastAsia" w:ascii="仿宋" w:hAnsi="仿宋" w:eastAsia="仿宋" w:cs="仿宋"/>
          <w:color w:val="auto"/>
          <w:sz w:val="32"/>
          <w:szCs w:val="32"/>
          <w:lang w:eastAsia="zh-CN"/>
        </w:rPr>
        <w:t>各盟行政公署、市人民政府，各</w:t>
      </w:r>
      <w:r>
        <w:rPr>
          <w:rFonts w:hint="eastAsia" w:ascii="仿宋" w:hAnsi="仿宋" w:eastAsia="仿宋" w:cs="仿宋"/>
          <w:color w:val="auto"/>
          <w:sz w:val="32"/>
          <w:szCs w:val="32"/>
        </w:rPr>
        <w:t>旗县</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人民政府是</w:t>
      </w:r>
      <w:r>
        <w:rPr>
          <w:rFonts w:hint="eastAsia" w:ascii="仿宋" w:hAnsi="仿宋" w:eastAsia="仿宋" w:cs="仿宋"/>
          <w:color w:val="auto"/>
          <w:sz w:val="32"/>
          <w:szCs w:val="32"/>
          <w:lang w:eastAsia="zh-CN"/>
        </w:rPr>
        <w:t>本地区</w:t>
      </w:r>
      <w:r>
        <w:rPr>
          <w:rFonts w:hint="eastAsia" w:ascii="仿宋" w:hAnsi="仿宋" w:eastAsia="仿宋" w:cs="仿宋"/>
          <w:color w:val="auto"/>
          <w:sz w:val="32"/>
          <w:szCs w:val="32"/>
        </w:rPr>
        <w:t>土壤普查的</w:t>
      </w:r>
      <w:r>
        <w:rPr>
          <w:rFonts w:hint="eastAsia" w:ascii="仿宋" w:hAnsi="仿宋" w:eastAsia="仿宋" w:cs="仿宋"/>
          <w:sz w:val="32"/>
          <w:szCs w:val="32"/>
        </w:rPr>
        <w:t>责任主体，要成立相应</w:t>
      </w:r>
      <w:r>
        <w:rPr>
          <w:rFonts w:hint="eastAsia" w:ascii="仿宋" w:hAnsi="仿宋" w:eastAsia="仿宋" w:cs="仿宋"/>
          <w:sz w:val="32"/>
          <w:szCs w:val="32"/>
          <w:lang w:eastAsia="zh-CN"/>
        </w:rPr>
        <w:t>的普查领导小组及其办公室</w:t>
      </w:r>
      <w:r>
        <w:rPr>
          <w:rFonts w:hint="eastAsia" w:ascii="仿宋" w:hAnsi="仿宋" w:eastAsia="仿宋" w:cs="仿宋"/>
          <w:sz w:val="32"/>
          <w:szCs w:val="32"/>
        </w:rPr>
        <w:t>，加强组织领导</w:t>
      </w:r>
      <w:r>
        <w:rPr>
          <w:rFonts w:hint="eastAsia" w:ascii="仿宋" w:hAnsi="仿宋" w:eastAsia="仿宋" w:cs="仿宋"/>
          <w:sz w:val="32"/>
          <w:szCs w:val="32"/>
          <w:lang w:eastAsia="zh-CN"/>
        </w:rPr>
        <w:t>，</w:t>
      </w:r>
      <w:r>
        <w:rPr>
          <w:rFonts w:hint="eastAsia" w:ascii="仿宋" w:hAnsi="仿宋" w:eastAsia="仿宋" w:cs="仿宋"/>
          <w:sz w:val="32"/>
          <w:szCs w:val="32"/>
        </w:rPr>
        <w:t>系统谋划、统筹推进。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五、普查经费保障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本次土壤普查经费由中央财政和地方财政按承担的工作任务分担。</w:t>
      </w:r>
      <w:r>
        <w:rPr>
          <w:rFonts w:hint="eastAsia" w:ascii="仿宋" w:hAnsi="仿宋" w:eastAsia="仿宋" w:cs="仿宋"/>
          <w:sz w:val="32"/>
          <w:szCs w:val="32"/>
          <w:u w:val="none"/>
          <w:lang w:eastAsia="zh-CN"/>
        </w:rPr>
        <w:t>地方财政负责</w:t>
      </w:r>
      <w:r>
        <w:rPr>
          <w:rFonts w:hint="eastAsia" w:ascii="仿宋" w:hAnsi="仿宋" w:eastAsia="仿宋" w:cs="仿宋"/>
          <w:sz w:val="32"/>
          <w:szCs w:val="32"/>
          <w:u w:val="none"/>
        </w:rPr>
        <w:t>本区域的外业调查采样、内业测试化验、技术培训、专家指导服务、数据分析</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成果汇总</w:t>
      </w:r>
      <w:r>
        <w:rPr>
          <w:rFonts w:hint="eastAsia" w:ascii="仿宋" w:hAnsi="仿宋" w:eastAsia="仿宋" w:cs="仿宋"/>
          <w:sz w:val="32"/>
          <w:szCs w:val="32"/>
          <w:u w:val="none"/>
          <w:lang w:eastAsia="zh-CN"/>
        </w:rPr>
        <w:t>和数据库样品库建设</w:t>
      </w:r>
      <w:r>
        <w:rPr>
          <w:rFonts w:hint="eastAsia" w:ascii="仿宋" w:hAnsi="仿宋" w:eastAsia="仿宋" w:cs="仿宋"/>
          <w:sz w:val="32"/>
          <w:szCs w:val="32"/>
          <w:u w:val="none"/>
        </w:rPr>
        <w:t>等。地方</w:t>
      </w:r>
      <w:r>
        <w:rPr>
          <w:rFonts w:hint="eastAsia" w:ascii="仿宋" w:hAnsi="仿宋" w:eastAsia="仿宋" w:cs="仿宋"/>
          <w:sz w:val="32"/>
          <w:szCs w:val="32"/>
          <w:u w:val="none"/>
          <w:lang w:eastAsia="zh-CN"/>
        </w:rPr>
        <w:t>各级</w:t>
      </w:r>
      <w:r>
        <w:rPr>
          <w:rFonts w:hint="eastAsia" w:ascii="仿宋" w:hAnsi="仿宋" w:eastAsia="仿宋" w:cs="仿宋"/>
          <w:sz w:val="32"/>
          <w:szCs w:val="32"/>
          <w:u w:val="none"/>
        </w:rPr>
        <w:t>人民政府要根据工作进度安排，将经费纳入相应年度预算予以保障，并加强监督审计。</w:t>
      </w:r>
      <w:r>
        <w:rPr>
          <w:rFonts w:hint="eastAsia" w:ascii="仿宋" w:hAnsi="仿宋" w:eastAsia="仿宋" w:cs="仿宋"/>
          <w:sz w:val="32"/>
          <w:szCs w:val="32"/>
        </w:rPr>
        <w:t>各地</w:t>
      </w:r>
      <w:r>
        <w:rPr>
          <w:rFonts w:hint="eastAsia" w:ascii="仿宋" w:hAnsi="仿宋" w:eastAsia="仿宋" w:cs="仿宋"/>
          <w:sz w:val="32"/>
          <w:szCs w:val="32"/>
          <w:lang w:eastAsia="zh-CN"/>
        </w:rPr>
        <w:t>区</w:t>
      </w:r>
      <w:r>
        <w:rPr>
          <w:rFonts w:hint="eastAsia" w:ascii="仿宋" w:hAnsi="仿宋" w:eastAsia="仿宋" w:cs="仿宋"/>
          <w:sz w:val="32"/>
          <w:szCs w:val="32"/>
        </w:rPr>
        <w:t>可按规定统筹现有资金渠道支持土壤普查相关工作。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六、普查工作要求</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各地</w:t>
      </w:r>
      <w:r>
        <w:rPr>
          <w:rFonts w:hint="eastAsia" w:ascii="仿宋" w:hAnsi="仿宋" w:eastAsia="仿宋" w:cs="仿宋"/>
          <w:sz w:val="32"/>
          <w:szCs w:val="32"/>
          <w:lang w:eastAsia="zh-CN"/>
        </w:rPr>
        <w:t>区</w:t>
      </w:r>
      <w:r>
        <w:rPr>
          <w:rFonts w:hint="eastAsia" w:ascii="仿宋" w:hAnsi="仿宋" w:eastAsia="仿宋" w:cs="仿宋"/>
          <w:sz w:val="32"/>
          <w:szCs w:val="32"/>
        </w:rPr>
        <w:t>要加强专家技术指导、专业技</w:t>
      </w:r>
      <w:r>
        <w:rPr>
          <w:rFonts w:hint="eastAsia" w:ascii="仿宋" w:hAnsi="仿宋" w:eastAsia="仿宋" w:cs="仿宋"/>
          <w:sz w:val="32"/>
          <w:szCs w:val="32"/>
          <w:lang w:eastAsia="zh-CN"/>
        </w:rPr>
        <w:t>术</w:t>
      </w:r>
      <w:r>
        <w:rPr>
          <w:rFonts w:hint="eastAsia" w:ascii="仿宋" w:hAnsi="仿宋" w:eastAsia="仿宋" w:cs="仿宋"/>
          <w:sz w:val="32"/>
          <w:szCs w:val="32"/>
        </w:rPr>
        <w:t>人员配置、普查队伍培训，确保土壤普查专业化、标准化、规范化。要强化质量控制，建立普查工作质量管理体系和普查数据质量追溯机制，层层压实责任。各级普查机构及其工作人员必须严格按要求报送普查数据，确保数据真实、准确、完整。任何地</w:t>
      </w:r>
      <w:r>
        <w:rPr>
          <w:rFonts w:hint="eastAsia" w:ascii="仿宋" w:hAnsi="仿宋" w:eastAsia="仿宋" w:cs="仿宋"/>
          <w:sz w:val="32"/>
          <w:szCs w:val="32"/>
          <w:lang w:eastAsia="zh-CN"/>
        </w:rPr>
        <w:t>区</w:t>
      </w:r>
      <w:r>
        <w:rPr>
          <w:rFonts w:hint="eastAsia" w:ascii="仿宋" w:hAnsi="仿宋" w:eastAsia="仿宋" w:cs="仿宋"/>
          <w:sz w:val="32"/>
          <w:szCs w:val="32"/>
        </w:rPr>
        <w:t>、部门、单位和个人都不得虚报、瞒报、拒报、迟报，不得弄虚作假和篡改普查数据。各地区、各有关部门要充分利用全国统一的土壤普查工作平台等现代化技术手段，提高信息化水平，科学、规范、高效推进普查工作。用好报刊、广播、电视、互联网等媒体，广泛宣传土壤普查的重要意义和要求，为普查工作顺利开展营造良好社会氛围。</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附件：</w:t>
      </w:r>
      <w:r>
        <w:rPr>
          <w:rFonts w:hint="eastAsia" w:ascii="仿宋" w:hAnsi="仿宋" w:eastAsia="仿宋" w:cs="仿宋"/>
          <w:b w:val="0"/>
          <w:bCs w:val="0"/>
          <w:sz w:val="32"/>
          <w:szCs w:val="32"/>
        </w:rPr>
        <w:t>自治区第三次土壤普查领导小组人员名单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2022年3月19日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bookmarkStart w:id="1" w:name="_Hlk96844678"/>
      <w:r>
        <w:rPr>
          <w:rFonts w:hint="eastAsia" w:ascii="方正小标宋_GBK" w:hAnsi="方正小标宋_GBK" w:eastAsia="方正小标宋_GBK" w:cs="方正小标宋_GBK"/>
          <w:b w:val="0"/>
          <w:bCs w:val="0"/>
          <w:sz w:val="44"/>
          <w:szCs w:val="44"/>
        </w:rPr>
        <w:t>自治区第三次土壤普查领导小组人员名单</w:t>
      </w:r>
    </w:p>
    <w:bookmarkEnd w:id="1"/>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组</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长：</w:t>
      </w:r>
      <w:r>
        <w:rPr>
          <w:rFonts w:hint="eastAsia" w:ascii="仿宋" w:hAnsi="仿宋" w:eastAsia="仿宋" w:cs="仿宋"/>
          <w:sz w:val="32"/>
          <w:szCs w:val="32"/>
        </w:rPr>
        <w:t>李秉荣</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自治区副主席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副组长：</w:t>
      </w:r>
      <w:r>
        <w:rPr>
          <w:rFonts w:hint="eastAsia" w:ascii="仿宋" w:hAnsi="仿宋" w:eastAsia="仿宋" w:cs="仿宋"/>
          <w:sz w:val="32"/>
          <w:szCs w:val="32"/>
        </w:rPr>
        <w:t>牧</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自治区农牧厅厅长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赵大勇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自然资源厅厅长</w:t>
      </w:r>
    </w:p>
    <w:p>
      <w:pPr>
        <w:keepNext w:val="0"/>
        <w:keepLines w:val="0"/>
        <w:pageBreakBefore w:val="0"/>
        <w:widowControl w:val="0"/>
        <w:kinsoku/>
        <w:wordWrap/>
        <w:overflowPunct/>
        <w:topLinePunct/>
        <w:autoSpaceDE/>
        <w:autoSpaceDN/>
        <w:bidi w:val="0"/>
        <w:adjustRightInd/>
        <w:snapToGrid/>
        <w:spacing w:line="580" w:lineRule="exact"/>
        <w:ind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自治区人民政府</w:t>
      </w:r>
      <w:r>
        <w:rPr>
          <w:rFonts w:hint="eastAsia" w:ascii="仿宋" w:hAnsi="仿宋" w:eastAsia="仿宋" w:cs="仿宋"/>
          <w:sz w:val="32"/>
          <w:szCs w:val="32"/>
          <w:lang w:eastAsia="zh-CN"/>
        </w:rPr>
        <w:t>办公厅一级巡视员</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成</w:t>
      </w:r>
      <w:r>
        <w:rPr>
          <w:rFonts w:hint="eastAsia" w:ascii="楷体" w:hAnsi="楷体" w:eastAsia="楷体" w:cs="楷体"/>
          <w:sz w:val="32"/>
          <w:szCs w:val="32"/>
        </w:rPr>
        <w:tab/>
      </w:r>
      <w:r>
        <w:rPr>
          <w:rFonts w:hint="eastAsia" w:ascii="楷体" w:hAnsi="楷体" w:eastAsia="楷体" w:cs="楷体"/>
          <w:sz w:val="32"/>
          <w:szCs w:val="32"/>
        </w:rPr>
        <w:t>员：</w:t>
      </w:r>
      <w:r>
        <w:rPr>
          <w:rFonts w:hint="eastAsia" w:ascii="仿宋" w:hAnsi="仿宋" w:eastAsia="仿宋" w:cs="仿宋"/>
          <w:sz w:val="32"/>
          <w:szCs w:val="32"/>
          <w:lang w:eastAsia="zh-CN"/>
        </w:rPr>
        <w:t>刘文玉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自治区发展改革委副主任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自治区财政厅</w:t>
      </w:r>
      <w:r>
        <w:rPr>
          <w:rFonts w:hint="eastAsia" w:ascii="仿宋" w:hAnsi="仿宋" w:eastAsia="仿宋" w:cs="仿宋"/>
          <w:sz w:val="32"/>
          <w:szCs w:val="32"/>
          <w:lang w:eastAsia="zh-CN"/>
        </w:rPr>
        <w:t>一级巡视员</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自然资源厅副厅长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赵世德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自治区生态环境厅副厅长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赵长青</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自治区水利厅副厅长</w:t>
      </w:r>
    </w:p>
    <w:p>
      <w:pPr>
        <w:keepNext w:val="0"/>
        <w:keepLines w:val="0"/>
        <w:pageBreakBefore w:val="0"/>
        <w:widowControl w:val="0"/>
        <w:kinsoku/>
        <w:wordWrap/>
        <w:overflowPunct/>
        <w:topLinePunct/>
        <w:autoSpaceDE/>
        <w:autoSpaceDN/>
        <w:bidi w:val="0"/>
        <w:adjustRightInd/>
        <w:snapToGrid/>
        <w:spacing w:line="580" w:lineRule="exact"/>
        <w:ind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rPr>
        <w:t>恩和特布沁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自治区农牧厅副厅长</w:t>
      </w:r>
    </w:p>
    <w:p>
      <w:pPr>
        <w:keepNext w:val="0"/>
        <w:keepLines w:val="0"/>
        <w:pageBreakBefore w:val="0"/>
        <w:widowControl w:val="0"/>
        <w:tabs>
          <w:tab w:val="left" w:pos="1833"/>
        </w:tabs>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highlight w:val="none"/>
          <w:lang w:eastAsia="zh-CN"/>
        </w:rPr>
        <w:t>吴忠岩</w:t>
      </w:r>
      <w:r>
        <w:rPr>
          <w:rFonts w:hint="eastAsia" w:ascii="仿宋" w:hAnsi="仿宋" w:eastAsia="仿宋" w:cs="仿宋"/>
          <w:sz w:val="32"/>
          <w:szCs w:val="32"/>
          <w:lang w:val="en-US" w:eastAsia="zh-CN"/>
        </w:rPr>
        <w:t xml:space="preserve">      自治区农牧厅二级巡视员</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田新茹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自治区统计局副局长</w:t>
      </w:r>
    </w:p>
    <w:p>
      <w:pPr>
        <w:keepNext w:val="0"/>
        <w:keepLines w:val="0"/>
        <w:pageBreakBefore w:val="0"/>
        <w:widowControl w:val="0"/>
        <w:tabs>
          <w:tab w:val="left" w:pos="1833"/>
        </w:tabs>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自治区林草局副局长</w:t>
      </w:r>
    </w:p>
    <w:p>
      <w:pPr>
        <w:keepNext w:val="0"/>
        <w:keepLines w:val="0"/>
        <w:pageBreakBefore w:val="0"/>
        <w:widowControl w:val="0"/>
        <w:tabs>
          <w:tab w:val="left" w:pos="1833"/>
        </w:tabs>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路战远      自治区农牧业科学院院长</w:t>
      </w:r>
    </w:p>
    <w:p>
      <w:pPr>
        <w:keepNext w:val="0"/>
        <w:keepLines w:val="0"/>
        <w:pageBreakBefore w:val="0"/>
        <w:widowControl w:val="0"/>
        <w:tabs>
          <w:tab w:val="left" w:pos="1833"/>
        </w:tabs>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娜</w:t>
      </w:r>
      <w:r>
        <w:rPr>
          <w:rFonts w:hint="eastAsia" w:ascii="仿宋" w:hAnsi="仿宋" w:eastAsia="仿宋" w:cs="仿宋"/>
          <w:sz w:val="32"/>
          <w:szCs w:val="32"/>
          <w:lang w:val="en-US" w:eastAsia="zh-CN"/>
        </w:rPr>
        <w:t xml:space="preserve">      内蒙古农业大学副校长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920" w:firstLineChars="6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胡有林      自治区农牧业技术推广中心主任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领导小组办公室设在自治区农牧厅，</w:t>
      </w:r>
      <w:r>
        <w:rPr>
          <w:rFonts w:hint="eastAsia" w:ascii="仿宋" w:hAnsi="仿宋" w:eastAsia="仿宋" w:cs="仿宋"/>
          <w:sz w:val="32"/>
          <w:szCs w:val="32"/>
          <w:lang w:eastAsia="zh-CN"/>
        </w:rPr>
        <w:t>办公室</w:t>
      </w:r>
      <w:r>
        <w:rPr>
          <w:rFonts w:hint="eastAsia" w:ascii="仿宋" w:hAnsi="仿宋" w:eastAsia="仿宋" w:cs="仿宋"/>
          <w:sz w:val="32"/>
          <w:szCs w:val="32"/>
        </w:rPr>
        <w:t>主任</w:t>
      </w:r>
      <w:bookmarkStart w:id="2" w:name="_Hlk96848192"/>
      <w:r>
        <w:rPr>
          <w:rFonts w:hint="eastAsia" w:ascii="仿宋" w:hAnsi="仿宋" w:eastAsia="仿宋" w:cs="仿宋"/>
          <w:sz w:val="32"/>
          <w:szCs w:val="32"/>
        </w:rPr>
        <w:t>由</w:t>
      </w:r>
      <w:r>
        <w:rPr>
          <w:rFonts w:hint="eastAsia" w:ascii="仿宋" w:hAnsi="仿宋" w:eastAsia="仿宋" w:cs="仿宋"/>
          <w:sz w:val="32"/>
          <w:szCs w:val="32"/>
          <w:lang w:eastAsia="zh-CN"/>
        </w:rPr>
        <w:t>自治区农牧厅副厅长</w:t>
      </w:r>
      <w:r>
        <w:rPr>
          <w:rFonts w:hint="eastAsia" w:ascii="仿宋" w:hAnsi="仿宋" w:eastAsia="仿宋" w:cs="仿宋"/>
          <w:sz w:val="32"/>
          <w:szCs w:val="32"/>
        </w:rPr>
        <w:t>恩和特布沁</w:t>
      </w:r>
      <w:bookmarkEnd w:id="2"/>
      <w:r>
        <w:rPr>
          <w:rFonts w:hint="eastAsia" w:ascii="仿宋" w:hAnsi="仿宋" w:eastAsia="仿宋" w:cs="仿宋"/>
          <w:sz w:val="32"/>
          <w:szCs w:val="32"/>
        </w:rPr>
        <w:t>兼任。</w:t>
      </w:r>
      <w:bookmarkStart w:id="3" w:name="_Hlk96844703"/>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 w:hAnsi="仿宋" w:eastAsia="仿宋"/>
          <w:sz w:val="32"/>
          <w:szCs w:val="32"/>
        </w:rPr>
      </w:pPr>
    </w:p>
    <w:bookmarkEnd w:id="3"/>
    <w:p>
      <w:pPr>
        <w:ind w:firstLine="600"/>
        <w:rPr>
          <w:rFonts w:hint="eastAsia" w:eastAsia="仿宋_GB2312"/>
          <w:sz w:val="32"/>
        </w:rPr>
      </w:pPr>
    </w:p>
    <w:p>
      <w:pPr>
        <w:pStyle w:val="3"/>
        <w:tabs>
          <w:tab w:val="left" w:pos="7560"/>
        </w:tabs>
        <w:wordWrap w:val="0"/>
        <w:ind w:left="4520" w:leftChars="2058" w:hanging="198" w:hangingChars="62"/>
        <w:jc w:val="right"/>
        <w:rPr>
          <w:rFonts w:hint="eastAsia" w:ascii="黑体" w:eastAsia="黑体"/>
        </w:rPr>
      </w:pPr>
    </w:p>
    <w:p>
      <w:pPr>
        <w:pStyle w:val="3"/>
        <w:tabs>
          <w:tab w:val="left" w:pos="7560"/>
        </w:tabs>
        <w:wordWrap w:val="0"/>
        <w:ind w:left="4520" w:leftChars="2058" w:hanging="198" w:hangingChars="62"/>
        <w:jc w:val="right"/>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pStyle w:val="3"/>
        <w:tabs>
          <w:tab w:val="left" w:pos="7560"/>
        </w:tabs>
        <w:wordWrap w:val="0"/>
        <w:ind w:left="4520" w:leftChars="2058" w:hanging="198" w:hangingChars="62"/>
        <w:jc w:val="right"/>
        <w:rPr>
          <w:rFonts w:hint="eastAsia" w:ascii="黑体" w:eastAsia="黑体"/>
        </w:rPr>
      </w:pPr>
    </w:p>
    <w:p>
      <w:pPr>
        <w:pStyle w:val="3"/>
        <w:keepNext w:val="0"/>
        <w:keepLines w:val="0"/>
        <w:pageBreakBefore w:val="0"/>
        <w:widowControl w:val="0"/>
        <w:tabs>
          <w:tab w:val="left" w:pos="7560"/>
        </w:tabs>
        <w:kinsoku/>
        <w:wordWrap w:val="0"/>
        <w:overflowPunct/>
        <w:topLinePunct w:val="0"/>
        <w:autoSpaceDE/>
        <w:autoSpaceDN/>
        <w:bidi w:val="0"/>
        <w:adjustRightInd/>
        <w:snapToGrid/>
        <w:spacing w:line="400" w:lineRule="exact"/>
        <w:ind w:left="4520" w:leftChars="2058" w:right="0" w:rightChars="0" w:hanging="198" w:hangingChars="62"/>
        <w:jc w:val="right"/>
        <w:textAlignment w:val="auto"/>
        <w:outlineLvl w:val="9"/>
        <w:rPr>
          <w:rFonts w:hint="eastAsia" w:ascii="黑体" w:eastAsia="黑体"/>
        </w:rPr>
      </w:pPr>
    </w:p>
    <w:tbl>
      <w:tblPr>
        <w:tblStyle w:val="8"/>
        <w:tblW w:w="8961"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left w:w="108" w:type="dxa"/>
          <w:right w:w="108" w:type="dxa"/>
        </w:tblCellMar>
      </w:tblPr>
      <w:tblGrid>
        <w:gridCol w:w="896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left w:w="108" w:type="dxa"/>
            <w:right w:w="108" w:type="dxa"/>
          </w:tblCellMar>
        </w:tblPrEx>
        <w:trPr>
          <w:jc w:val="center"/>
        </w:trPr>
        <w:tc>
          <w:tcPr>
            <w:tcW w:w="8961" w:type="dxa"/>
            <w:tcBorders>
              <w:tl2br w:val="nil"/>
              <w:tr2bl w:val="nil"/>
            </w:tcBorders>
            <w:noWrap w:val="0"/>
            <w:vAlign w:val="top"/>
          </w:tcPr>
          <w:p>
            <w:pPr>
              <w:pStyle w:val="3"/>
              <w:keepNext w:val="0"/>
              <w:keepLines w:val="0"/>
              <w:pageBreakBefore w:val="0"/>
              <w:widowControl w:val="0"/>
              <w:tabs>
                <w:tab w:val="left" w:pos="7560"/>
              </w:tabs>
              <w:kinsoku/>
              <w:wordWrap w:val="0"/>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抄送：自治区党委各部门。</w:t>
            </w:r>
          </w:p>
          <w:p>
            <w:pPr>
              <w:keepNext w:val="0"/>
              <w:keepLines w:val="0"/>
              <w:pageBreakBefore w:val="0"/>
              <w:widowControl w:val="0"/>
              <w:kinsoku/>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自治区人大常委会办公厅、政协办公厅，自治区监委。</w:t>
            </w:r>
          </w:p>
          <w:p>
            <w:pPr>
              <w:keepNext w:val="0"/>
              <w:keepLines w:val="0"/>
              <w:pageBreakBefore w:val="0"/>
              <w:widowControl w:val="0"/>
              <w:kinsoku/>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left w:w="108" w:type="dxa"/>
            <w:right w:w="108" w:type="dxa"/>
          </w:tblCellMar>
        </w:tblPrEx>
        <w:trPr>
          <w:jc w:val="center"/>
        </w:trPr>
        <w:tc>
          <w:tcPr>
            <w:tcW w:w="8961" w:type="dxa"/>
            <w:tcBorders>
              <w:tl2br w:val="nil"/>
              <w:tr2bl w:val="nil"/>
            </w:tcBorders>
            <w:noWrap w:val="0"/>
            <w:vAlign w:val="top"/>
          </w:tcPr>
          <w:p>
            <w:pPr>
              <w:keepNext w:val="0"/>
              <w:keepLines w:val="0"/>
              <w:pageBreakBefore w:val="0"/>
              <w:widowControl w:val="0"/>
              <w:kinsoku/>
              <w:overflowPunct/>
              <w:topLinePunct w:val="0"/>
              <w:autoSpaceDE/>
              <w:autoSpaceDN/>
              <w:bidi w:val="0"/>
              <w:adjustRightInd/>
              <w:snapToGrid/>
              <w:ind w:left="210" w:leftChars="100" w:right="210" w:rightChars="100"/>
              <w:jc w:val="both"/>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日印发</w:t>
            </w:r>
          </w:p>
        </w:tc>
      </w:tr>
    </w:tbl>
    <w:p>
      <w:pPr>
        <w:spacing w:line="20" w:lineRule="exact"/>
        <w:rPr>
          <w:rFonts w:hint="eastAsia"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4969510</wp:posOffset>
                </wp:positionH>
                <wp:positionV relativeFrom="paragraph">
                  <wp:posOffset>62230</wp:posOffset>
                </wp:positionV>
                <wp:extent cx="617220" cy="344170"/>
                <wp:effectExtent l="4445" t="4445" r="6985" b="13335"/>
                <wp:wrapNone/>
                <wp:docPr id="1" name="矩形 6"/>
                <wp:cNvGraphicFramePr/>
                <a:graphic xmlns:a="http://schemas.openxmlformats.org/drawingml/2006/main">
                  <a:graphicData uri="http://schemas.microsoft.com/office/word/2010/wordprocessingShape">
                    <wps:wsp>
                      <wps:cNvSpPr/>
                      <wps:spPr>
                        <a:xfrm>
                          <a:off x="0" y="0"/>
                          <a:ext cx="617220" cy="34417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6" o:spid="_x0000_s1026" o:spt="1" style="position:absolute;left:0pt;margin-left:391.3pt;margin-top:4.9pt;height:27.1pt;width:48.6pt;z-index:251659264;mso-width-relative:page;mso-height-relative:page;" fillcolor="#FFFFFF" filled="t" stroked="t" coordsize="21600,21600" o:gfxdata="UEsDBAoAAAAAAIdO4kAAAAAAAAAAAAAAAAAEAAAAZHJzL1BLAwQUAAAACACHTuJAvGJXu9YAAAAI&#10;AQAADwAAAGRycy9kb3ducmV2LnhtbE2PzU7DMBCE70i8g7VI3KjdqkpDiFOJEsSlh1LgvnWWJMJe&#10;R7H7x9PjnsptRzOa/aZcnpwVBxpD71nDdKJAEBvf9Nxq+Px4fchBhIjcoPVMGs4UYFnd3pRYNP7I&#10;73TYxlakEg4FauhiHAopg+nIYZj4gTh53350GJMcW9mMeEzlzsqZUpl02HP60OFAq47Mz3bvNGwQ&#10;Xza/b8Y81+f1vKbVV03ean1/N1VPICKd4jUMF/yEDlVi2vk9N0FYDYt8lqWohse0IPn54nLsNGRz&#10;BbIq5f8B1R9QSwMEFAAAAAgAh07iQAQ/cVD7AQAAAgQAAA4AAABkcnMvZTJvRG9jLnhtbK1TS44T&#10;MRDdI3EHy3vSSZjJQCudWUwIGwQjDRygYru7LflH2UknXAaJHYfgOIhrUHaHDAObEaIX7rJdflXv&#10;VdXy+mAN2yuM2ruGzyZTzpQTXmrXNfzD+82zF5zFBE6C8U41/Kgiv149fbIcQq3mvvdGKmQE4mI9&#10;hIb3KYW6qqLolYU48UE5umw9Wki0xa6SCAOhW1PNp9NFNXiUAb1QMdLperzkq4Lftkqkd20bVWKm&#10;4ZRbKiuWdZvXarWEukMIvRanNOAfsrCgHQU9Q60hAduh/gvKaoE++jZNhLeVb1stVOFAbGbTP9jc&#10;9RBU4ULixHCWKf4/WPF2f4tMS6odZw4slejH56/fv31hi6zNEGJNLnfhFk+7SGYmemjR5j9RYIei&#10;5/GspzokJuhwMbuaz0l1QVfPLy5mV0Xv6v5xwJheK29ZNhqOVK6iIuzfxEQByfWXS44VvdFyo40p&#10;G+y2NwbZHqi0m/LljOnJAzfj2NDwl5fzS8oDqMNaA4lMG4hzdF2J9+BFfBxwTmwNsR8TKAhjN1md&#10;VFYL6l6BfOUkS8dAujoaAJ6TsUpyZhTNS7aKZwJtHuNJ7IwjkrkuYyWytfXySFWkMSQRe4+fKAy1&#10;NPH7uAOkoOAEHTeciI/mTRpnYBdQdz29mhXtMhg1WlHxNBS5k3/fl+D3o7v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iV7vWAAAACAEAAA8AAAAAAAAAAQAgAAAAIgAAAGRycy9kb3ducmV2Lnht&#10;bFBLAQIUABQAAAAIAIdO4kAEP3FQ+wEAAAIEAAAOAAAAAAAAAAEAIAAAACUBAABkcnMvZTJvRG9j&#10;LnhtbFBLBQYAAAAABgAGAFkBAACSBQ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98F4F5D"/>
    <w:rsid w:val="0F6E701B"/>
    <w:rsid w:val="11264C8D"/>
    <w:rsid w:val="11E879E4"/>
    <w:rsid w:val="15CF35EC"/>
    <w:rsid w:val="19552D60"/>
    <w:rsid w:val="1DD11934"/>
    <w:rsid w:val="1ED24BFE"/>
    <w:rsid w:val="1F48029C"/>
    <w:rsid w:val="28B640A0"/>
    <w:rsid w:val="2912BB45"/>
    <w:rsid w:val="2DDBF535"/>
    <w:rsid w:val="2E84799A"/>
    <w:rsid w:val="2F3FF191"/>
    <w:rsid w:val="2F7F85DB"/>
    <w:rsid w:val="302F5E6F"/>
    <w:rsid w:val="353A4937"/>
    <w:rsid w:val="36BF685A"/>
    <w:rsid w:val="370A6D13"/>
    <w:rsid w:val="377B68B8"/>
    <w:rsid w:val="37B314BD"/>
    <w:rsid w:val="37F7DE79"/>
    <w:rsid w:val="37FE25B1"/>
    <w:rsid w:val="38BEFB0B"/>
    <w:rsid w:val="3A422C11"/>
    <w:rsid w:val="3A635917"/>
    <w:rsid w:val="3ABF13D4"/>
    <w:rsid w:val="3B5E5A93"/>
    <w:rsid w:val="3D9F8618"/>
    <w:rsid w:val="3DDB5319"/>
    <w:rsid w:val="3DFF2137"/>
    <w:rsid w:val="3EAB0813"/>
    <w:rsid w:val="3ED789A3"/>
    <w:rsid w:val="3FDA0CB9"/>
    <w:rsid w:val="3FFFF805"/>
    <w:rsid w:val="418356FB"/>
    <w:rsid w:val="47EDF18F"/>
    <w:rsid w:val="49813841"/>
    <w:rsid w:val="4A0775F9"/>
    <w:rsid w:val="4BFE45B4"/>
    <w:rsid w:val="4F575244"/>
    <w:rsid w:val="55FFD266"/>
    <w:rsid w:val="565F0B96"/>
    <w:rsid w:val="57AFDBAA"/>
    <w:rsid w:val="57F05783"/>
    <w:rsid w:val="590E5685"/>
    <w:rsid w:val="5C7FE167"/>
    <w:rsid w:val="5DAE0924"/>
    <w:rsid w:val="5EBB6C5C"/>
    <w:rsid w:val="5F28CFAB"/>
    <w:rsid w:val="5F7E2087"/>
    <w:rsid w:val="5FBBC3F5"/>
    <w:rsid w:val="5FEF287E"/>
    <w:rsid w:val="5FFF0F70"/>
    <w:rsid w:val="5FFFBBCC"/>
    <w:rsid w:val="62DC8B95"/>
    <w:rsid w:val="65A838C4"/>
    <w:rsid w:val="663B489E"/>
    <w:rsid w:val="67DD03D2"/>
    <w:rsid w:val="692F5F86"/>
    <w:rsid w:val="6A1C2667"/>
    <w:rsid w:val="6B572DB7"/>
    <w:rsid w:val="6B9DBD07"/>
    <w:rsid w:val="6DBFB2B1"/>
    <w:rsid w:val="6DD47714"/>
    <w:rsid w:val="6DFA1037"/>
    <w:rsid w:val="6E78F63B"/>
    <w:rsid w:val="6ECF23D3"/>
    <w:rsid w:val="6ED6042E"/>
    <w:rsid w:val="6ED7949E"/>
    <w:rsid w:val="6FFBB8CD"/>
    <w:rsid w:val="70EDD5EF"/>
    <w:rsid w:val="71E5B364"/>
    <w:rsid w:val="74DFD4A0"/>
    <w:rsid w:val="757EAF58"/>
    <w:rsid w:val="75A7CDF4"/>
    <w:rsid w:val="75EFCE31"/>
    <w:rsid w:val="75F9919D"/>
    <w:rsid w:val="7679D0D7"/>
    <w:rsid w:val="76F7C979"/>
    <w:rsid w:val="77715388"/>
    <w:rsid w:val="77DB23EE"/>
    <w:rsid w:val="77DF564B"/>
    <w:rsid w:val="783A467E"/>
    <w:rsid w:val="797D8473"/>
    <w:rsid w:val="79FD896F"/>
    <w:rsid w:val="7AF5F486"/>
    <w:rsid w:val="7B7FE419"/>
    <w:rsid w:val="7BAFBF2C"/>
    <w:rsid w:val="7BED6D1E"/>
    <w:rsid w:val="7BFF7F49"/>
    <w:rsid w:val="7CFE50C6"/>
    <w:rsid w:val="7DBD2B16"/>
    <w:rsid w:val="7E2DF44B"/>
    <w:rsid w:val="7E6B6D41"/>
    <w:rsid w:val="7EAD0F58"/>
    <w:rsid w:val="7EF5CFD8"/>
    <w:rsid w:val="7EFBFB7F"/>
    <w:rsid w:val="7F6F8D26"/>
    <w:rsid w:val="7F762539"/>
    <w:rsid w:val="7FAFC3A9"/>
    <w:rsid w:val="7FB67E46"/>
    <w:rsid w:val="7FD50387"/>
    <w:rsid w:val="7FDE0CD3"/>
    <w:rsid w:val="7FEA0013"/>
    <w:rsid w:val="7FEFFF02"/>
    <w:rsid w:val="7FF339E4"/>
    <w:rsid w:val="7FF7C1EE"/>
    <w:rsid w:val="7FFDF6DE"/>
    <w:rsid w:val="7FFE5099"/>
    <w:rsid w:val="7FFE5D25"/>
    <w:rsid w:val="8BD8E3D6"/>
    <w:rsid w:val="999F9DF8"/>
    <w:rsid w:val="9FFBE984"/>
    <w:rsid w:val="A37795AF"/>
    <w:rsid w:val="AB766505"/>
    <w:rsid w:val="B19F0B2E"/>
    <w:rsid w:val="B5E2BDFA"/>
    <w:rsid w:val="B7BBD73E"/>
    <w:rsid w:val="B8E72AFA"/>
    <w:rsid w:val="BBEF6C46"/>
    <w:rsid w:val="BBFF6533"/>
    <w:rsid w:val="BC333949"/>
    <w:rsid w:val="BDF9CA91"/>
    <w:rsid w:val="BEE63F74"/>
    <w:rsid w:val="BEF3177B"/>
    <w:rsid w:val="BF7D4312"/>
    <w:rsid w:val="BF7DE446"/>
    <w:rsid w:val="BFBD8FEC"/>
    <w:rsid w:val="C5EE7FE5"/>
    <w:rsid w:val="C77FE12F"/>
    <w:rsid w:val="CA2F86A0"/>
    <w:rsid w:val="CFAC86B8"/>
    <w:rsid w:val="D3FF98FA"/>
    <w:rsid w:val="D72F9898"/>
    <w:rsid w:val="DAF6DB31"/>
    <w:rsid w:val="DD573CE9"/>
    <w:rsid w:val="DD8BD61E"/>
    <w:rsid w:val="DDED9B80"/>
    <w:rsid w:val="DDEF4680"/>
    <w:rsid w:val="DE3DA873"/>
    <w:rsid w:val="DFB8E3D9"/>
    <w:rsid w:val="DFFC6D01"/>
    <w:rsid w:val="E332C90D"/>
    <w:rsid w:val="E3396387"/>
    <w:rsid w:val="E5CDDB74"/>
    <w:rsid w:val="E6FFCD59"/>
    <w:rsid w:val="E9DEC4D0"/>
    <w:rsid w:val="EABB742C"/>
    <w:rsid w:val="EDFF6761"/>
    <w:rsid w:val="EE678FE3"/>
    <w:rsid w:val="EED5F918"/>
    <w:rsid w:val="EEFF1818"/>
    <w:rsid w:val="EFAFC1EA"/>
    <w:rsid w:val="EFD73319"/>
    <w:rsid w:val="EFE36EBF"/>
    <w:rsid w:val="EFEBFA84"/>
    <w:rsid w:val="EFFB6FD3"/>
    <w:rsid w:val="F2528696"/>
    <w:rsid w:val="F2F5AD50"/>
    <w:rsid w:val="F33F8B14"/>
    <w:rsid w:val="F6ED8AEC"/>
    <w:rsid w:val="F77FA8DA"/>
    <w:rsid w:val="F7B254F2"/>
    <w:rsid w:val="F7BC7391"/>
    <w:rsid w:val="F7BD06CE"/>
    <w:rsid w:val="F7DF24D8"/>
    <w:rsid w:val="F9F36DE2"/>
    <w:rsid w:val="FA5F37A7"/>
    <w:rsid w:val="FB5FE8E8"/>
    <w:rsid w:val="FC2E3995"/>
    <w:rsid w:val="FC37B1F0"/>
    <w:rsid w:val="FDDA95D9"/>
    <w:rsid w:val="FDDE9C79"/>
    <w:rsid w:val="FDFB0AAA"/>
    <w:rsid w:val="FDFBD09F"/>
    <w:rsid w:val="FE6F3740"/>
    <w:rsid w:val="FEEB93F3"/>
    <w:rsid w:val="FEFBDBD5"/>
    <w:rsid w:val="FF379C6E"/>
    <w:rsid w:val="FF7F392C"/>
    <w:rsid w:val="FFBF2715"/>
    <w:rsid w:val="FFBF918F"/>
    <w:rsid w:val="FFFA12C5"/>
    <w:rsid w:val="FFFB3FD8"/>
    <w:rsid w:val="FFFB546B"/>
    <w:rsid w:val="FFFCCF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styleId="11">
    <w:name w:val="Hyperlink"/>
    <w:basedOn w:val="9"/>
    <w:uiPriority w:val="0"/>
    <w:rPr>
      <w:rFonts w:ascii="Calibri" w:hAnsi="Calibri" w:eastAsia="宋体" w:cs="Times New Roman"/>
      <w:color w:val="0000FF"/>
      <w:u w:val="single"/>
    </w:rPr>
  </w:style>
  <w:style w:type="character" w:customStyle="1" w:styleId="12">
    <w:name w:val=" Char Char1"/>
    <w:basedOn w:val="9"/>
    <w:link w:val="3"/>
    <w:uiPriority w:val="0"/>
    <w:rPr>
      <w:rFonts w:ascii="仿宋_GB2312" w:hAnsi="Times New Roman" w:eastAsia="仿宋_GB2312" w:cs="Times New Roman"/>
      <w:kern w:val="2"/>
      <w:sz w:val="32"/>
      <w:szCs w:val="24"/>
      <w:lang w:bidi="ar-SA"/>
    </w:rPr>
  </w:style>
  <w:style w:type="character" w:customStyle="1" w:styleId="13">
    <w:name w:val=" Char Char2"/>
    <w:basedOn w:val="9"/>
    <w:link w:val="5"/>
    <w:semiHidden/>
    <w:uiPriority w:val="99"/>
    <w:rPr>
      <w:rFonts w:ascii="Calibri" w:hAnsi="Calibri" w:eastAsia="宋体" w:cs="Mongolian Baiti"/>
      <w:kern w:val="2"/>
      <w:sz w:val="18"/>
      <w:szCs w:val="22"/>
    </w:rPr>
  </w:style>
  <w:style w:type="character" w:customStyle="1" w:styleId="14">
    <w:name w:val=" Char Char"/>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12</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2022-03-21T16:27:03Z</cp:lastPrinted>
  <dcterms:modified xsi:type="dcterms:W3CDTF">2022-03-29T01:40:02Z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