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简体" w:eastAsia="方正小标宋简体"/>
          <w:sz w:val="44"/>
          <w:szCs w:val="44"/>
          <w:lang w:eastAsia="zh-CN"/>
        </w:rPr>
      </w:pPr>
      <w:bookmarkStart w:id="1" w:name="_GoBack"/>
      <w:bookmarkStart w:id="0" w:name="标题"/>
      <w:bookmarkEnd w:id="0"/>
      <w:r>
        <w:rPr>
          <w:rFonts w:hint="eastAsia" w:ascii="方正小标宋简体" w:eastAsia="方正小标宋简体"/>
          <w:sz w:val="44"/>
          <w:szCs w:val="44"/>
          <w:lang w:eastAsia="zh-CN"/>
        </w:rPr>
        <w:t>内蒙古自治区人民政府关于</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印发自治区“十四五”节能减排</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综合工作实施方案的通知</w:t>
      </w:r>
    </w:p>
    <w:bookmarkEnd w:id="1"/>
    <w:p>
      <w:pPr>
        <w:pStyle w:val="2"/>
        <w:rPr>
          <w:rFonts w:hint="eastAsia"/>
          <w:lang w:eastAsia="zh-CN"/>
        </w:rPr>
      </w:pPr>
    </w:p>
    <w:p>
      <w:pPr>
        <w:pStyle w:val="2"/>
        <w:jc w:val="center"/>
        <w:rPr>
          <w:rFonts w:hint="eastAsia"/>
          <w:lang w:eastAsia="zh-CN"/>
        </w:rPr>
      </w:pPr>
      <w:r>
        <w:rPr>
          <w:rFonts w:hint="eastAsia" w:ascii="仿宋_GB2312" w:hAnsi="华文仿宋" w:eastAsia="仿宋_GB2312"/>
          <w:sz w:val="32"/>
          <w:lang w:eastAsia="zh-CN"/>
        </w:rPr>
        <w:t>内政发〔2022〕17号</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sz w:val="30"/>
        </w:rPr>
      </w:pPr>
    </w:p>
    <w:p>
      <w:pPr>
        <w:keepNext w:val="0"/>
        <w:keepLines w:val="0"/>
        <w:pageBreakBefore w:val="0"/>
        <w:widowControl w:val="0"/>
        <w:kinsoku/>
        <w:wordWrap/>
        <w:overflowPunct/>
        <w:topLinePunct/>
        <w:autoSpaceDE/>
        <w:autoSpaceDN/>
        <w:bidi w:val="0"/>
        <w:adjustRightInd/>
        <w:snapToGrid/>
        <w:spacing w:line="300" w:lineRule="exact"/>
        <w:ind w:left="0" w:leftChars="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各盟行政公署、市人民政府，各旗县人民政府，自治区各委、办、厅、局，各大企业、事业单位</w:t>
      </w:r>
      <w:r>
        <w:rPr>
          <w:rFonts w:hint="eastAsia" w:ascii="方正楷体_GBK" w:hAnsi="方正楷体_GBK" w:eastAsia="方正楷体_GBK" w:cs="方正楷体_GBK"/>
          <w:sz w:val="32"/>
          <w:szCs w:val="32"/>
        </w:rPr>
        <w:t>：</w:t>
      </w:r>
    </w:p>
    <w:p>
      <w:pPr>
        <w:pStyle w:val="2"/>
        <w:keepNext w:val="0"/>
        <w:keepLines w:val="0"/>
        <w:pageBreakBefore w:val="0"/>
        <w:widowControl w:val="0"/>
        <w:kinsoku/>
        <w:wordWrap/>
        <w:overflowPunct/>
        <w:topLinePunct/>
        <w:autoSpaceDE/>
        <w:autoSpaceDN/>
        <w:bidi w:val="0"/>
        <w:adjustRightInd/>
        <w:snapToGrid/>
        <w:spacing w:after="0" w:line="300" w:lineRule="exact"/>
        <w:ind w:left="0" w:leftChars="0"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现将《内蒙古自治区“十四五”节能减排综合工作实施方案》印发给你们，请结合实际，认真贯彻落实。</w:t>
      </w:r>
    </w:p>
    <w:p>
      <w:pPr>
        <w:pStyle w:val="4"/>
        <w:keepNext w:val="0"/>
        <w:keepLines w:val="0"/>
        <w:pageBreakBefore w:val="0"/>
        <w:widowControl w:val="0"/>
        <w:kinsoku/>
        <w:wordWrap/>
        <w:overflowPunct/>
        <w:topLinePunct/>
        <w:autoSpaceDE/>
        <w:autoSpaceDN/>
        <w:bidi w:val="0"/>
        <w:adjustRightInd/>
        <w:spacing w:after="0" w:afterLines="0" w:line="580" w:lineRule="exact"/>
        <w:ind w:left="0" w:leftChars="0"/>
        <w:textAlignment w:val="auto"/>
        <w:rPr>
          <w:rFonts w:hint="eastAsia" w:ascii="方正楷体_GBK" w:hAnsi="方正楷体_GBK" w:eastAsia="方正楷体_GBK" w:cs="方正楷体_GBK"/>
          <w:sz w:val="32"/>
          <w:szCs w:val="32"/>
          <w:lang w:val="en-US" w:eastAsia="zh-CN"/>
        </w:rPr>
      </w:pPr>
    </w:p>
    <w:p>
      <w:pPr>
        <w:pStyle w:val="5"/>
        <w:keepNext w:val="0"/>
        <w:keepLines w:val="0"/>
        <w:pageBreakBefore w:val="0"/>
        <w:widowControl w:val="0"/>
        <w:kinsoku/>
        <w:wordWrap/>
        <w:overflowPunct/>
        <w:topLinePunct/>
        <w:autoSpaceDE/>
        <w:autoSpaceDN/>
        <w:bidi w:val="0"/>
        <w:adjustRightInd/>
        <w:ind w:left="0" w:leftChars="0"/>
        <w:textAlignment w:val="auto"/>
        <w:rPr>
          <w:rFonts w:hint="eastAsia" w:ascii="方正楷体_GBK" w:hAnsi="方正楷体_GBK" w:eastAsia="方正楷体_GBK" w:cs="方正楷体_GBK"/>
          <w:sz w:val="32"/>
          <w:szCs w:val="32"/>
          <w:lang w:val="en-US" w:eastAsia="zh-CN"/>
        </w:rPr>
      </w:pPr>
    </w:p>
    <w:p>
      <w:pPr>
        <w:pStyle w:val="5"/>
        <w:keepNext w:val="0"/>
        <w:keepLines w:val="0"/>
        <w:pageBreakBefore w:val="0"/>
        <w:widowControl w:val="0"/>
        <w:kinsoku/>
        <w:wordWrap/>
        <w:overflowPunct/>
        <w:topLinePunct/>
        <w:autoSpaceDE/>
        <w:autoSpaceDN/>
        <w:bidi w:val="0"/>
        <w:adjustRightInd/>
        <w:ind w:left="0" w:leftChars="0"/>
        <w:textAlignment w:val="auto"/>
        <w:rPr>
          <w:rFonts w:hint="eastAsia" w:ascii="方正楷体_GBK" w:hAnsi="方正楷体_GBK" w:eastAsia="方正楷体_GBK" w:cs="方正楷体_GBK"/>
          <w:sz w:val="32"/>
          <w:szCs w:val="32"/>
          <w:lang w:val="en-US" w:eastAsia="zh-CN"/>
        </w:rPr>
      </w:pPr>
    </w:p>
    <w:p>
      <w:pPr>
        <w:pStyle w:val="5"/>
        <w:keepNext w:val="0"/>
        <w:keepLines w:val="0"/>
        <w:pageBreakBefore w:val="0"/>
        <w:widowControl w:val="0"/>
        <w:kinsoku/>
        <w:wordWrap/>
        <w:overflowPunct/>
        <w:topLinePunct/>
        <w:autoSpaceDE/>
        <w:autoSpaceDN/>
        <w:bidi w:val="0"/>
        <w:adjustRightInd/>
        <w:snapToGrid w:val="0"/>
        <w:spacing w:line="40" w:lineRule="exact"/>
        <w:ind w:left="0" w:leftChars="0"/>
        <w:textAlignment w:val="auto"/>
        <w:rPr>
          <w:rFonts w:hint="eastAsia" w:ascii="方正楷体_GBK" w:hAnsi="方正楷体_GBK" w:eastAsia="方正楷体_GBK" w:cs="方正楷体_GBK"/>
          <w:sz w:val="32"/>
          <w:szCs w:val="32"/>
          <w:lang w:val="en-US" w:eastAsia="zh-CN"/>
        </w:rPr>
      </w:pPr>
    </w:p>
    <w:p>
      <w:pPr>
        <w:pStyle w:val="5"/>
        <w:keepNext w:val="0"/>
        <w:keepLines w:val="0"/>
        <w:pageBreakBefore w:val="0"/>
        <w:widowControl w:val="0"/>
        <w:kinsoku/>
        <w:wordWrap/>
        <w:overflowPunct/>
        <w:topLinePunct/>
        <w:autoSpaceDE/>
        <w:autoSpaceDN/>
        <w:bidi w:val="0"/>
        <w:adjustRightInd/>
        <w:snapToGrid w:val="0"/>
        <w:spacing w:line="40" w:lineRule="exact"/>
        <w:ind w:left="0" w:leftChars="0"/>
        <w:textAlignment w:val="auto"/>
        <w:rPr>
          <w:rFonts w:hint="eastAsia" w:ascii="方正楷体_GBK" w:hAnsi="方正楷体_GBK" w:eastAsia="方正楷体_GBK" w:cs="方正楷体_GBK"/>
          <w:sz w:val="32"/>
          <w:szCs w:val="32"/>
          <w:lang w:val="en-US" w:eastAsia="zh-CN"/>
        </w:rPr>
      </w:pPr>
    </w:p>
    <w:p>
      <w:pPr>
        <w:pStyle w:val="5"/>
        <w:keepNext w:val="0"/>
        <w:keepLines w:val="0"/>
        <w:pageBreakBefore w:val="0"/>
        <w:widowControl w:val="0"/>
        <w:kinsoku/>
        <w:wordWrap/>
        <w:overflowPunct/>
        <w:topLinePunct/>
        <w:autoSpaceDE/>
        <w:autoSpaceDN/>
        <w:bidi w:val="0"/>
        <w:adjustRightInd/>
        <w:snapToGrid w:val="0"/>
        <w:spacing w:line="40" w:lineRule="exact"/>
        <w:ind w:left="0" w:leftChars="0"/>
        <w:textAlignment w:val="auto"/>
        <w:rPr>
          <w:rFonts w:hint="eastAsia" w:ascii="方正楷体_GBK" w:hAnsi="方正楷体_GBK" w:eastAsia="方正楷体_GBK" w:cs="方正楷体_GBK"/>
          <w:sz w:val="32"/>
          <w:szCs w:val="32"/>
          <w:lang w:val="en-US" w:eastAsia="zh-CN"/>
        </w:rPr>
      </w:pPr>
    </w:p>
    <w:p>
      <w:pPr>
        <w:pStyle w:val="5"/>
        <w:keepNext w:val="0"/>
        <w:keepLines w:val="0"/>
        <w:pageBreakBefore w:val="0"/>
        <w:widowControl w:val="0"/>
        <w:kinsoku/>
        <w:wordWrap/>
        <w:overflowPunct/>
        <w:topLinePunct/>
        <w:autoSpaceDE/>
        <w:autoSpaceDN/>
        <w:bidi w:val="0"/>
        <w:adjustRightInd/>
        <w:snapToGrid w:val="0"/>
        <w:spacing w:line="40" w:lineRule="exact"/>
        <w:ind w:left="0" w:leftChars="0"/>
        <w:textAlignment w:val="auto"/>
        <w:rPr>
          <w:rFonts w:hint="eastAsia" w:ascii="方正楷体_GBK" w:hAnsi="方正楷体_GBK" w:eastAsia="方正楷体_GBK" w:cs="方正楷体_GBK"/>
          <w:sz w:val="32"/>
          <w:szCs w:val="32"/>
          <w:lang w:val="en-US" w:eastAsia="zh-CN"/>
        </w:rPr>
      </w:pPr>
    </w:p>
    <w:p>
      <w:pPr>
        <w:pStyle w:val="5"/>
        <w:keepNext w:val="0"/>
        <w:keepLines w:val="0"/>
        <w:pageBreakBefore w:val="0"/>
        <w:widowControl w:val="0"/>
        <w:kinsoku/>
        <w:wordWrap/>
        <w:overflowPunct/>
        <w:topLinePunct/>
        <w:autoSpaceDE/>
        <w:autoSpaceDN/>
        <w:bidi w:val="0"/>
        <w:adjustRightInd/>
        <w:snapToGrid w:val="0"/>
        <w:spacing w:line="40" w:lineRule="exact"/>
        <w:ind w:left="0" w:leftChars="0"/>
        <w:textAlignment w:val="auto"/>
        <w:rPr>
          <w:rFonts w:hint="eastAsia" w:ascii="方正楷体_GBK" w:hAnsi="方正楷体_GBK" w:eastAsia="方正楷体_GBK" w:cs="方正楷体_GBK"/>
          <w:sz w:val="32"/>
          <w:szCs w:val="32"/>
          <w:lang w:val="en-US" w:eastAsia="zh-CN"/>
        </w:rPr>
      </w:pPr>
    </w:p>
    <w:p>
      <w:pPr>
        <w:pStyle w:val="5"/>
        <w:keepNext w:val="0"/>
        <w:keepLines w:val="0"/>
        <w:pageBreakBefore w:val="0"/>
        <w:widowControl w:val="0"/>
        <w:kinsoku/>
        <w:wordWrap/>
        <w:overflowPunct/>
        <w:topLinePunct/>
        <w:autoSpaceDE/>
        <w:autoSpaceDN/>
        <w:bidi w:val="0"/>
        <w:adjustRightInd/>
        <w:snapToGrid w:val="0"/>
        <w:spacing w:line="40" w:lineRule="exact"/>
        <w:ind w:left="0" w:leftChars="0"/>
        <w:textAlignment w:val="auto"/>
        <w:rPr>
          <w:rFonts w:hint="eastAsia" w:ascii="方正楷体_GBK" w:hAnsi="方正楷体_GBK" w:eastAsia="方正楷体_GBK" w:cs="方正楷体_GBK"/>
          <w:sz w:val="32"/>
          <w:szCs w:val="32"/>
          <w:lang w:val="en-US" w:eastAsia="zh-CN"/>
        </w:rPr>
      </w:pPr>
    </w:p>
    <w:p>
      <w:pPr>
        <w:pStyle w:val="5"/>
        <w:keepNext w:val="0"/>
        <w:keepLines w:val="0"/>
        <w:pageBreakBefore w:val="0"/>
        <w:widowControl w:val="0"/>
        <w:kinsoku/>
        <w:wordWrap/>
        <w:overflowPunct/>
        <w:topLinePunct/>
        <w:autoSpaceDE/>
        <w:autoSpaceDN/>
        <w:bidi w:val="0"/>
        <w:adjustRightInd/>
        <w:snapToGrid w:val="0"/>
        <w:spacing w:line="40" w:lineRule="exact"/>
        <w:ind w:left="0" w:leftChars="0"/>
        <w:textAlignment w:val="auto"/>
        <w:rPr>
          <w:rFonts w:hint="eastAsia" w:ascii="方正楷体_GBK" w:hAnsi="方正楷体_GBK" w:eastAsia="方正楷体_GBK" w:cs="方正楷体_GBK"/>
          <w:sz w:val="32"/>
          <w:szCs w:val="32"/>
          <w:lang w:val="en-US" w:eastAsia="zh-CN"/>
        </w:rPr>
      </w:pPr>
    </w:p>
    <w:p>
      <w:pPr>
        <w:pStyle w:val="5"/>
        <w:keepNext w:val="0"/>
        <w:keepLines w:val="0"/>
        <w:pageBreakBefore w:val="0"/>
        <w:widowControl w:val="0"/>
        <w:kinsoku/>
        <w:wordWrap/>
        <w:overflowPunct/>
        <w:topLinePunct/>
        <w:autoSpaceDE/>
        <w:autoSpaceDN/>
        <w:bidi w:val="0"/>
        <w:adjustRightInd/>
        <w:snapToGrid w:val="0"/>
        <w:spacing w:line="40" w:lineRule="exact"/>
        <w:ind w:left="0" w:leftChars="0"/>
        <w:textAlignment w:val="auto"/>
        <w:rPr>
          <w:rFonts w:hint="eastAsia" w:ascii="方正楷体_GBK" w:hAnsi="方正楷体_GBK" w:eastAsia="方正楷体_GBK" w:cs="方正楷体_GBK"/>
          <w:sz w:val="32"/>
          <w:szCs w:val="32"/>
          <w:lang w:val="en-US" w:eastAsia="zh-CN"/>
        </w:rPr>
      </w:pPr>
    </w:p>
    <w:p>
      <w:pPr>
        <w:pStyle w:val="5"/>
        <w:keepNext w:val="0"/>
        <w:keepLines w:val="0"/>
        <w:pageBreakBefore w:val="0"/>
        <w:widowControl w:val="0"/>
        <w:kinsoku/>
        <w:wordWrap/>
        <w:overflowPunct/>
        <w:topLinePunct/>
        <w:autoSpaceDE/>
        <w:autoSpaceDN/>
        <w:bidi w:val="0"/>
        <w:adjustRightInd/>
        <w:snapToGrid w:val="0"/>
        <w:spacing w:line="40" w:lineRule="exact"/>
        <w:ind w:left="0" w:leftChars="0"/>
        <w:textAlignment w:val="auto"/>
        <w:rPr>
          <w:rFonts w:hint="eastAsia" w:ascii="方正楷体_GBK" w:hAnsi="方正楷体_GBK" w:eastAsia="方正楷体_GBK" w:cs="方正楷体_GBK"/>
          <w:sz w:val="32"/>
          <w:szCs w:val="32"/>
          <w:lang w:val="en-US" w:eastAsia="zh-CN"/>
        </w:rPr>
      </w:pPr>
    </w:p>
    <w:p>
      <w:pPr>
        <w:pStyle w:val="5"/>
        <w:keepNext w:val="0"/>
        <w:keepLines w:val="0"/>
        <w:pageBreakBefore w:val="0"/>
        <w:widowControl w:val="0"/>
        <w:kinsoku/>
        <w:wordWrap/>
        <w:overflowPunct/>
        <w:topLinePunct/>
        <w:autoSpaceDE/>
        <w:autoSpaceDN/>
        <w:bidi w:val="0"/>
        <w:adjustRightInd/>
        <w:snapToGrid w:val="0"/>
        <w:spacing w:line="40" w:lineRule="exact"/>
        <w:ind w:left="0" w:leftChars="0"/>
        <w:textAlignment w:val="auto"/>
        <w:rPr>
          <w:rFonts w:hint="eastAsia" w:ascii="方正楷体_GBK" w:hAnsi="方正楷体_GBK" w:eastAsia="方正楷体_GBK" w:cs="方正楷体_GBK"/>
          <w:sz w:val="32"/>
          <w:szCs w:val="32"/>
          <w:lang w:val="en-US" w:eastAsia="zh-CN"/>
        </w:rPr>
      </w:pPr>
    </w:p>
    <w:p>
      <w:pPr>
        <w:pStyle w:val="5"/>
        <w:keepNext w:val="0"/>
        <w:keepLines w:val="0"/>
        <w:pageBreakBefore w:val="0"/>
        <w:widowControl w:val="0"/>
        <w:kinsoku/>
        <w:wordWrap/>
        <w:overflowPunct/>
        <w:topLinePunct/>
        <w:autoSpaceDE/>
        <w:autoSpaceDN/>
        <w:bidi w:val="0"/>
        <w:adjustRightInd/>
        <w:snapToGrid w:val="0"/>
        <w:spacing w:line="40" w:lineRule="exact"/>
        <w:ind w:left="0" w:leftChars="0"/>
        <w:textAlignment w:val="auto"/>
        <w:rPr>
          <w:rFonts w:hint="eastAsia" w:ascii="方正楷体_GBK" w:hAnsi="方正楷体_GBK" w:eastAsia="方正楷体_GBK" w:cs="方正楷体_GBK"/>
          <w:sz w:val="32"/>
          <w:szCs w:val="32"/>
          <w:lang w:val="en-US" w:eastAsia="zh-CN"/>
        </w:rPr>
      </w:pPr>
    </w:p>
    <w:p>
      <w:pPr>
        <w:pStyle w:val="5"/>
        <w:keepNext w:val="0"/>
        <w:keepLines w:val="0"/>
        <w:pageBreakBefore w:val="0"/>
        <w:widowControl w:val="0"/>
        <w:kinsoku/>
        <w:wordWrap/>
        <w:overflowPunct/>
        <w:topLinePunct/>
        <w:autoSpaceDE/>
        <w:autoSpaceDN/>
        <w:bidi w:val="0"/>
        <w:adjustRightInd/>
        <w:snapToGrid w:val="0"/>
        <w:spacing w:line="40" w:lineRule="exact"/>
        <w:ind w:left="0" w:leftChars="0"/>
        <w:textAlignment w:val="auto"/>
        <w:rPr>
          <w:rFonts w:hint="eastAsia" w:ascii="方正楷体_GBK" w:hAnsi="方正楷体_GBK" w:eastAsia="方正楷体_GBK" w:cs="方正楷体_GBK"/>
          <w:sz w:val="32"/>
          <w:szCs w:val="32"/>
          <w:lang w:val="en-US" w:eastAsia="zh-CN"/>
        </w:rPr>
      </w:pPr>
    </w:p>
    <w:p>
      <w:pPr>
        <w:pStyle w:val="5"/>
        <w:keepNext w:val="0"/>
        <w:keepLines w:val="0"/>
        <w:pageBreakBefore w:val="0"/>
        <w:widowControl w:val="0"/>
        <w:kinsoku/>
        <w:wordWrap/>
        <w:overflowPunct/>
        <w:topLinePunct/>
        <w:autoSpaceDE/>
        <w:autoSpaceDN/>
        <w:bidi w:val="0"/>
        <w:adjustRightInd/>
        <w:snapToGrid w:val="0"/>
        <w:spacing w:line="40" w:lineRule="exact"/>
        <w:ind w:left="0" w:leftChars="0"/>
        <w:textAlignment w:val="auto"/>
        <w:rPr>
          <w:rFonts w:hint="eastAsia" w:ascii="方正楷体_GBK" w:hAnsi="方正楷体_GBK" w:eastAsia="方正楷体_GBK" w:cs="方正楷体_GBK"/>
          <w:sz w:val="32"/>
          <w:szCs w:val="32"/>
          <w:lang w:val="en-US" w:eastAsia="zh-CN"/>
        </w:rPr>
      </w:pPr>
    </w:p>
    <w:p>
      <w:pPr>
        <w:pStyle w:val="5"/>
        <w:keepNext w:val="0"/>
        <w:keepLines w:val="0"/>
        <w:pageBreakBefore w:val="0"/>
        <w:widowControl w:val="0"/>
        <w:kinsoku/>
        <w:wordWrap/>
        <w:overflowPunct/>
        <w:topLinePunct/>
        <w:autoSpaceDE/>
        <w:autoSpaceDN/>
        <w:bidi w:val="0"/>
        <w:adjustRightInd/>
        <w:snapToGrid w:val="0"/>
        <w:spacing w:line="40" w:lineRule="exact"/>
        <w:ind w:left="0" w:leftChars="0"/>
        <w:textAlignment w:val="auto"/>
        <w:rPr>
          <w:rFonts w:hint="eastAsia" w:ascii="方正楷体_GBK" w:hAnsi="方正楷体_GBK" w:eastAsia="方正楷体_GBK" w:cs="方正楷体_GBK"/>
          <w:sz w:val="32"/>
          <w:szCs w:val="32"/>
          <w:lang w:val="en-US" w:eastAsia="zh-CN"/>
        </w:rPr>
      </w:pPr>
    </w:p>
    <w:p>
      <w:pPr>
        <w:pStyle w:val="5"/>
        <w:keepNext w:val="0"/>
        <w:keepLines w:val="0"/>
        <w:pageBreakBefore w:val="0"/>
        <w:widowControl w:val="0"/>
        <w:kinsoku/>
        <w:wordWrap/>
        <w:overflowPunct/>
        <w:topLinePunct/>
        <w:autoSpaceDE/>
        <w:autoSpaceDN/>
        <w:bidi w:val="0"/>
        <w:adjustRightInd/>
        <w:snapToGrid w:val="0"/>
        <w:spacing w:line="300" w:lineRule="exact"/>
        <w:ind w:left="0" w:leftChars="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 xml:space="preserve">                                 2022年5月25日</w:t>
      </w:r>
    </w:p>
    <w:p>
      <w:pPr>
        <w:pStyle w:val="5"/>
        <w:keepNext w:val="0"/>
        <w:keepLines w:val="0"/>
        <w:pageBreakBefore w:val="0"/>
        <w:widowControl w:val="0"/>
        <w:kinsoku/>
        <w:wordWrap/>
        <w:overflowPunct/>
        <w:topLinePunct/>
        <w:autoSpaceDE/>
        <w:autoSpaceDN/>
        <w:bidi w:val="0"/>
        <w:adjustRightInd/>
        <w:snapToGrid w:val="0"/>
        <w:spacing w:line="300" w:lineRule="exact"/>
        <w:ind w:left="0" w:leftChars="0" w:firstLine="64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（此件公开发布）</w:t>
      </w:r>
    </w:p>
    <w:p>
      <w:pPr>
        <w:pStyle w:val="5"/>
        <w:keepNext w:val="0"/>
        <w:keepLines w:val="0"/>
        <w:pageBreakBefore w:val="0"/>
        <w:widowControl w:val="0"/>
        <w:kinsoku/>
        <w:wordWrap/>
        <w:overflowPunct/>
        <w:topLinePunct/>
        <w:autoSpaceDE/>
        <w:autoSpaceDN/>
        <w:bidi w:val="0"/>
        <w:adjustRightInd/>
        <w:snapToGrid w:val="0"/>
        <w:spacing w:line="300" w:lineRule="exact"/>
        <w:ind w:left="0" w:leftChars="0" w:firstLine="640"/>
        <w:textAlignment w:val="auto"/>
        <w:rPr>
          <w:rFonts w:hint="eastAsia" w:ascii="方正楷体_GBK" w:hAnsi="方正楷体_GBK" w:eastAsia="方正楷体_GBK" w:cs="方正楷体_GBK"/>
          <w:sz w:val="32"/>
          <w:szCs w:val="32"/>
          <w:lang w:val="en-US" w:eastAsia="zh-CN"/>
        </w:rPr>
      </w:pPr>
    </w:p>
    <w:p>
      <w:pPr>
        <w:pStyle w:val="5"/>
        <w:keepNext w:val="0"/>
        <w:keepLines w:val="0"/>
        <w:pageBreakBefore w:val="0"/>
        <w:widowControl w:val="0"/>
        <w:kinsoku/>
        <w:wordWrap/>
        <w:overflowPunct/>
        <w:topLinePunct/>
        <w:autoSpaceDE/>
        <w:autoSpaceDN/>
        <w:bidi w:val="0"/>
        <w:adjustRightInd/>
        <w:snapToGrid w:val="0"/>
        <w:spacing w:line="300" w:lineRule="exact"/>
        <w:ind w:left="0" w:leftChars="0" w:firstLine="640"/>
        <w:textAlignment w:val="auto"/>
        <w:rPr>
          <w:rFonts w:hint="eastAsia" w:ascii="方正楷体_GBK" w:hAnsi="方正楷体_GBK" w:eastAsia="方正楷体_GBK" w:cs="方正楷体_GBK"/>
          <w:sz w:val="32"/>
          <w:szCs w:val="32"/>
          <w:lang w:val="en-US" w:eastAsia="zh-CN"/>
        </w:rPr>
      </w:pPr>
    </w:p>
    <w:p>
      <w:pPr>
        <w:pStyle w:val="5"/>
        <w:keepNext w:val="0"/>
        <w:keepLines w:val="0"/>
        <w:pageBreakBefore w:val="0"/>
        <w:widowControl w:val="0"/>
        <w:kinsoku/>
        <w:wordWrap/>
        <w:overflowPunct/>
        <w:topLinePunct/>
        <w:autoSpaceDE/>
        <w:autoSpaceDN/>
        <w:bidi w:val="0"/>
        <w:adjustRightInd/>
        <w:snapToGrid w:val="0"/>
        <w:spacing w:line="300" w:lineRule="exact"/>
        <w:ind w:left="0" w:leftChars="0" w:firstLine="640"/>
        <w:textAlignment w:val="auto"/>
        <w:rPr>
          <w:rFonts w:hint="eastAsia" w:ascii="方正楷体_GBK" w:hAnsi="方正楷体_GBK" w:eastAsia="方正楷体_GBK" w:cs="方正楷体_GBK"/>
          <w:sz w:val="32"/>
          <w:szCs w:val="32"/>
          <w:lang w:val="en-US" w:eastAsia="zh-CN"/>
        </w:rPr>
      </w:pPr>
    </w:p>
    <w:p>
      <w:pPr>
        <w:pStyle w:val="5"/>
        <w:keepNext w:val="0"/>
        <w:keepLines w:val="0"/>
        <w:pageBreakBefore w:val="0"/>
        <w:widowControl w:val="0"/>
        <w:kinsoku/>
        <w:wordWrap/>
        <w:overflowPunct/>
        <w:topLinePunct/>
        <w:autoSpaceDE/>
        <w:autoSpaceDN/>
        <w:bidi w:val="0"/>
        <w:adjustRightInd/>
        <w:snapToGrid w:val="0"/>
        <w:spacing w:line="300" w:lineRule="exact"/>
        <w:ind w:left="0" w:leftChars="0" w:firstLine="640"/>
        <w:textAlignment w:val="auto"/>
        <w:rPr>
          <w:rFonts w:hint="eastAsia" w:ascii="方正楷体_GBK" w:hAnsi="方正楷体_GBK" w:eastAsia="方正楷体_GBK" w:cs="方正楷体_GBK"/>
          <w:sz w:val="32"/>
          <w:szCs w:val="32"/>
          <w:lang w:val="en-US" w:eastAsia="zh-CN"/>
        </w:rPr>
      </w:pPr>
    </w:p>
    <w:p>
      <w:pPr>
        <w:pStyle w:val="5"/>
        <w:keepNext w:val="0"/>
        <w:keepLines w:val="0"/>
        <w:pageBreakBefore w:val="0"/>
        <w:widowControl w:val="0"/>
        <w:kinsoku/>
        <w:wordWrap/>
        <w:overflowPunct/>
        <w:topLinePunct/>
        <w:autoSpaceDE/>
        <w:autoSpaceDN/>
        <w:bidi w:val="0"/>
        <w:adjustRightInd/>
        <w:snapToGrid w:val="0"/>
        <w:spacing w:line="300" w:lineRule="exact"/>
        <w:ind w:left="0" w:leftChars="0" w:firstLine="640"/>
        <w:textAlignment w:val="auto"/>
        <w:rPr>
          <w:rFonts w:hint="eastAsia" w:ascii="方正楷体_GBK" w:hAnsi="方正楷体_GBK" w:eastAsia="方正楷体_GBK" w:cs="方正楷体_GBK"/>
          <w:sz w:val="32"/>
          <w:szCs w:val="32"/>
          <w:lang w:val="en-US" w:eastAsia="zh-CN"/>
        </w:rPr>
      </w:pPr>
    </w:p>
    <w:p>
      <w:pPr>
        <w:pStyle w:val="5"/>
        <w:keepNext w:val="0"/>
        <w:keepLines w:val="0"/>
        <w:pageBreakBefore w:val="0"/>
        <w:widowControl w:val="0"/>
        <w:kinsoku/>
        <w:wordWrap/>
        <w:overflowPunct/>
        <w:topLinePunct/>
        <w:autoSpaceDE/>
        <w:autoSpaceDN/>
        <w:bidi w:val="0"/>
        <w:adjustRightInd/>
        <w:snapToGrid w:val="0"/>
        <w:spacing w:line="300" w:lineRule="exact"/>
        <w:ind w:left="0" w:leftChars="0" w:firstLine="640"/>
        <w:textAlignment w:val="auto"/>
        <w:rPr>
          <w:rFonts w:hint="eastAsia" w:ascii="方正楷体_GBK" w:hAnsi="方正楷体_GBK" w:eastAsia="方正楷体_GBK" w:cs="方正楷体_GBK"/>
          <w:sz w:val="32"/>
          <w:szCs w:val="32"/>
          <w:lang w:val="en-US" w:eastAsia="zh-CN"/>
        </w:rPr>
      </w:pPr>
    </w:p>
    <w:p>
      <w:pPr>
        <w:pStyle w:val="5"/>
        <w:keepNext w:val="0"/>
        <w:keepLines w:val="0"/>
        <w:pageBreakBefore w:val="0"/>
        <w:widowControl w:val="0"/>
        <w:kinsoku/>
        <w:wordWrap/>
        <w:overflowPunct/>
        <w:topLinePunct/>
        <w:autoSpaceDE/>
        <w:autoSpaceDN/>
        <w:bidi w:val="0"/>
        <w:adjustRightInd/>
        <w:snapToGrid w:val="0"/>
        <w:spacing w:line="300" w:lineRule="exact"/>
        <w:ind w:left="0" w:leftChars="0" w:firstLine="640"/>
        <w:textAlignment w:val="auto"/>
        <w:rPr>
          <w:rFonts w:hint="eastAsia" w:ascii="方正楷体_GBK" w:hAnsi="方正楷体_GBK" w:eastAsia="方正楷体_GBK" w:cs="方正楷体_GBK"/>
          <w:sz w:val="32"/>
          <w:szCs w:val="32"/>
          <w:lang w:val="en-US" w:eastAsia="zh-CN"/>
        </w:rPr>
      </w:pPr>
    </w:p>
    <w:p>
      <w:pPr>
        <w:pStyle w:val="5"/>
        <w:keepNext w:val="0"/>
        <w:keepLines w:val="0"/>
        <w:pageBreakBefore w:val="0"/>
        <w:widowControl w:val="0"/>
        <w:kinsoku/>
        <w:wordWrap/>
        <w:overflowPunct/>
        <w:topLinePunct/>
        <w:autoSpaceDE/>
        <w:autoSpaceDN/>
        <w:bidi w:val="0"/>
        <w:adjustRightInd/>
        <w:snapToGrid w:val="0"/>
        <w:spacing w:line="300" w:lineRule="exact"/>
        <w:ind w:left="0" w:leftChars="0" w:firstLine="640"/>
        <w:textAlignment w:val="auto"/>
        <w:rPr>
          <w:rFonts w:hint="eastAsia" w:ascii="方正楷体_GBK" w:hAnsi="方正楷体_GBK" w:eastAsia="方正楷体_GBK" w:cs="方正楷体_GBK"/>
          <w:sz w:val="32"/>
          <w:szCs w:val="32"/>
          <w:lang w:val="en-US" w:eastAsia="zh-CN"/>
        </w:rPr>
      </w:pPr>
    </w:p>
    <w:p>
      <w:pPr>
        <w:pStyle w:val="5"/>
        <w:keepNext w:val="0"/>
        <w:keepLines w:val="0"/>
        <w:pageBreakBefore w:val="0"/>
        <w:widowControl w:val="0"/>
        <w:kinsoku/>
        <w:wordWrap/>
        <w:overflowPunct/>
        <w:topLinePunct/>
        <w:autoSpaceDE/>
        <w:autoSpaceDN/>
        <w:bidi w:val="0"/>
        <w:adjustRightInd/>
        <w:snapToGrid w:val="0"/>
        <w:spacing w:line="300" w:lineRule="exact"/>
        <w:ind w:left="0" w:leftChars="0" w:firstLine="640"/>
        <w:textAlignment w:val="auto"/>
        <w:rPr>
          <w:rFonts w:hint="eastAsia" w:ascii="方正楷体_GBK" w:hAnsi="方正楷体_GBK" w:eastAsia="方正楷体_GBK" w:cs="方正楷体_GBK"/>
          <w:sz w:val="32"/>
          <w:szCs w:val="32"/>
          <w:lang w:val="en-US" w:eastAsia="zh-CN"/>
        </w:rPr>
      </w:pPr>
    </w:p>
    <w:p>
      <w:pPr>
        <w:pStyle w:val="5"/>
        <w:keepNext w:val="0"/>
        <w:keepLines w:val="0"/>
        <w:pageBreakBefore w:val="0"/>
        <w:widowControl w:val="0"/>
        <w:kinsoku/>
        <w:wordWrap/>
        <w:overflowPunct/>
        <w:topLinePunct/>
        <w:autoSpaceDE/>
        <w:autoSpaceDN/>
        <w:bidi w:val="0"/>
        <w:adjustRightInd/>
        <w:snapToGrid w:val="0"/>
        <w:spacing w:line="300" w:lineRule="exact"/>
        <w:ind w:left="0" w:leftChars="0" w:firstLine="640"/>
        <w:textAlignment w:val="auto"/>
        <w:rPr>
          <w:rFonts w:hint="eastAsia" w:ascii="方正楷体_GBK" w:hAnsi="方正楷体_GBK" w:eastAsia="方正楷体_GBK" w:cs="方正楷体_GBK"/>
          <w:sz w:val="32"/>
          <w:szCs w:val="32"/>
          <w:lang w:val="en-US" w:eastAsia="zh-CN"/>
        </w:rPr>
      </w:pPr>
    </w:p>
    <w:p>
      <w:pPr>
        <w:pStyle w:val="5"/>
        <w:keepNext w:val="0"/>
        <w:keepLines w:val="0"/>
        <w:pageBreakBefore w:val="0"/>
        <w:widowControl w:val="0"/>
        <w:kinsoku/>
        <w:wordWrap/>
        <w:overflowPunct/>
        <w:topLinePunct/>
        <w:autoSpaceDE/>
        <w:autoSpaceDN/>
        <w:bidi w:val="0"/>
        <w:adjustRightInd/>
        <w:snapToGrid w:val="0"/>
        <w:spacing w:line="300" w:lineRule="exact"/>
        <w:ind w:left="0" w:leftChars="0" w:firstLine="640"/>
        <w:textAlignment w:val="auto"/>
        <w:rPr>
          <w:rFonts w:hint="eastAsia" w:ascii="方正楷体_GBK" w:hAnsi="方正楷体_GBK" w:eastAsia="方正楷体_GBK" w:cs="方正楷体_GBK"/>
          <w:sz w:val="32"/>
          <w:szCs w:val="32"/>
          <w:lang w:val="en-US" w:eastAsia="zh-CN"/>
        </w:rPr>
      </w:pPr>
    </w:p>
    <w:p>
      <w:pPr>
        <w:pStyle w:val="5"/>
        <w:keepNext w:val="0"/>
        <w:keepLines w:val="0"/>
        <w:pageBreakBefore w:val="0"/>
        <w:widowControl w:val="0"/>
        <w:kinsoku/>
        <w:wordWrap/>
        <w:overflowPunct/>
        <w:topLinePunct/>
        <w:autoSpaceDE/>
        <w:autoSpaceDN/>
        <w:bidi w:val="0"/>
        <w:adjustRightInd/>
        <w:snapToGrid w:val="0"/>
        <w:spacing w:line="300" w:lineRule="exact"/>
        <w:ind w:left="0" w:leftChars="0" w:firstLine="640"/>
        <w:textAlignment w:val="auto"/>
        <w:rPr>
          <w:rFonts w:hint="eastAsia" w:ascii="方正楷体_GBK" w:hAnsi="方正楷体_GBK" w:eastAsia="方正楷体_GBK" w:cs="方正楷体_GBK"/>
          <w:sz w:val="32"/>
          <w:szCs w:val="32"/>
          <w:lang w:val="en-US" w:eastAsia="zh-CN"/>
        </w:rPr>
      </w:pPr>
    </w:p>
    <w:p>
      <w:pPr>
        <w:pStyle w:val="5"/>
        <w:keepNext w:val="0"/>
        <w:keepLines w:val="0"/>
        <w:pageBreakBefore w:val="0"/>
        <w:widowControl w:val="0"/>
        <w:kinsoku/>
        <w:wordWrap/>
        <w:overflowPunct/>
        <w:topLinePunct/>
        <w:autoSpaceDE/>
        <w:autoSpaceDN/>
        <w:bidi w:val="0"/>
        <w:adjustRightInd/>
        <w:snapToGrid w:val="0"/>
        <w:spacing w:line="300" w:lineRule="exact"/>
        <w:ind w:left="0" w:leftChars="0" w:firstLine="640"/>
        <w:textAlignment w:val="auto"/>
        <w:rPr>
          <w:rFonts w:hint="eastAsia" w:ascii="方正楷体_GBK" w:hAnsi="方正楷体_GBK" w:eastAsia="方正楷体_GBK" w:cs="方正楷体_GBK"/>
          <w:sz w:val="32"/>
          <w:szCs w:val="32"/>
          <w:lang w:val="en-US" w:eastAsia="zh-CN"/>
        </w:rPr>
      </w:pPr>
    </w:p>
    <w:p>
      <w:pPr>
        <w:pStyle w:val="5"/>
        <w:keepNext w:val="0"/>
        <w:keepLines w:val="0"/>
        <w:pageBreakBefore w:val="0"/>
        <w:widowControl w:val="0"/>
        <w:kinsoku/>
        <w:wordWrap/>
        <w:overflowPunct/>
        <w:topLinePunct/>
        <w:autoSpaceDE/>
        <w:autoSpaceDN/>
        <w:bidi w:val="0"/>
        <w:adjustRightInd/>
        <w:snapToGrid w:val="0"/>
        <w:spacing w:line="300" w:lineRule="exact"/>
        <w:ind w:left="0" w:leftChars="0" w:firstLine="640"/>
        <w:textAlignment w:val="auto"/>
        <w:rPr>
          <w:rFonts w:hint="eastAsia" w:ascii="方正楷体_GBK" w:hAnsi="方正楷体_GBK" w:eastAsia="方正楷体_GBK" w:cs="方正楷体_GBK"/>
          <w:sz w:val="32"/>
          <w:szCs w:val="32"/>
          <w:lang w:val="en-US" w:eastAsia="zh-CN"/>
        </w:rPr>
      </w:pPr>
    </w:p>
    <w:p>
      <w:pPr>
        <w:pStyle w:val="5"/>
        <w:keepNext w:val="0"/>
        <w:keepLines w:val="0"/>
        <w:pageBreakBefore w:val="0"/>
        <w:widowControl w:val="0"/>
        <w:kinsoku/>
        <w:wordWrap/>
        <w:overflowPunct/>
        <w:topLinePunct/>
        <w:autoSpaceDE/>
        <w:autoSpaceDN/>
        <w:bidi w:val="0"/>
        <w:adjustRightInd/>
        <w:snapToGrid w:val="0"/>
        <w:spacing w:line="300" w:lineRule="exact"/>
        <w:ind w:left="0" w:leftChars="0" w:firstLine="640"/>
        <w:textAlignment w:val="auto"/>
        <w:rPr>
          <w:rFonts w:hint="eastAsia" w:ascii="方正楷体_GBK" w:hAnsi="方正楷体_GBK" w:eastAsia="方正楷体_GBK" w:cs="方正楷体_GBK"/>
          <w:sz w:val="32"/>
          <w:szCs w:val="32"/>
          <w:lang w:val="en-US" w:eastAsia="zh-CN"/>
        </w:rPr>
      </w:pPr>
    </w:p>
    <w:p>
      <w:pPr>
        <w:keepNext w:val="0"/>
        <w:keepLines w:val="0"/>
        <w:pageBreakBefore w:val="0"/>
        <w:widowControl w:val="0"/>
        <w:shd w:val="clear" w:color="auto" w:fill="auto"/>
        <w:suppressAutoHyphens/>
        <w:kinsoku/>
        <w:wordWrap/>
        <w:overflowPunct/>
        <w:topLinePunct/>
        <w:autoSpaceDE/>
        <w:autoSpaceDN/>
        <w:bidi w:val="0"/>
        <w:adjustRightInd/>
        <w:snapToGrid/>
        <w:spacing w:line="580" w:lineRule="exact"/>
        <w:ind w:left="0" w:leftChars="0" w:right="0" w:rightChars="0"/>
        <w:jc w:val="center"/>
        <w:textAlignment w:val="auto"/>
        <w:rPr>
          <w:rFonts w:hint="default" w:ascii="Times New Roman" w:hAnsi="Times New Roman" w:eastAsia="方正小标宋简体" w:cs="Times New Roman"/>
          <w:b w:val="0"/>
          <w:bCs/>
          <w:i w:val="0"/>
          <w:caps w:val="0"/>
          <w:color w:val="auto"/>
          <w:spacing w:val="0"/>
          <w:sz w:val="42"/>
          <w:szCs w:val="42"/>
          <w:shd w:val="clear" w:color="auto" w:fill="FFFFFF"/>
          <w:lang w:eastAsia="zh-CN"/>
        </w:rPr>
      </w:pPr>
    </w:p>
    <w:p>
      <w:pPr>
        <w:keepNext w:val="0"/>
        <w:keepLines w:val="0"/>
        <w:pageBreakBefore w:val="0"/>
        <w:widowControl w:val="0"/>
        <w:shd w:val="clear" w:color="auto" w:fill="auto"/>
        <w:suppressAutoHyphens/>
        <w:kinsoku/>
        <w:wordWrap/>
        <w:overflowPunct/>
        <w:topLinePunct/>
        <w:autoSpaceDE/>
        <w:autoSpaceDN/>
        <w:bidi w:val="0"/>
        <w:adjustRightInd/>
        <w:snapToGrid/>
        <w:spacing w:line="580" w:lineRule="exact"/>
        <w:ind w:left="0" w:leftChars="0" w:right="0" w:rightChars="0"/>
        <w:jc w:val="center"/>
        <w:textAlignment w:val="auto"/>
        <w:rPr>
          <w:rFonts w:hint="default" w:ascii="Times New Roman" w:hAnsi="Times New Roman" w:eastAsia="方正小标宋简体" w:cs="Times New Roman"/>
          <w:b w:val="0"/>
          <w:bCs/>
          <w:i w:val="0"/>
          <w:caps w:val="0"/>
          <w:color w:val="auto"/>
          <w:spacing w:val="0"/>
          <w:sz w:val="42"/>
          <w:szCs w:val="42"/>
          <w:shd w:val="clear" w:color="auto" w:fill="FFFFFF"/>
          <w:lang w:eastAsia="zh-CN"/>
        </w:rPr>
      </w:pPr>
      <w:r>
        <w:rPr>
          <w:rFonts w:hint="default" w:ascii="Times New Roman" w:hAnsi="Times New Roman" w:eastAsia="方正小标宋简体" w:cs="Times New Roman"/>
          <w:b w:val="0"/>
          <w:bCs/>
          <w:i w:val="0"/>
          <w:caps w:val="0"/>
          <w:color w:val="auto"/>
          <w:spacing w:val="0"/>
          <w:sz w:val="42"/>
          <w:szCs w:val="42"/>
          <w:shd w:val="clear" w:color="auto" w:fill="FFFFFF"/>
          <w:lang w:eastAsia="zh-CN"/>
        </w:rPr>
        <w:t>内蒙古自治区</w:t>
      </w:r>
      <w:r>
        <w:rPr>
          <w:rFonts w:hint="eastAsia" w:eastAsia="方正小标宋简体" w:cs="Times New Roman"/>
          <w:b w:val="0"/>
          <w:bCs/>
          <w:i w:val="0"/>
          <w:caps w:val="0"/>
          <w:color w:val="auto"/>
          <w:spacing w:val="0"/>
          <w:sz w:val="42"/>
          <w:szCs w:val="42"/>
          <w:shd w:val="clear" w:color="auto" w:fill="FFFFFF"/>
          <w:lang w:eastAsia="zh-CN"/>
        </w:rPr>
        <w:t>“</w:t>
      </w:r>
      <w:r>
        <w:rPr>
          <w:rFonts w:hint="default" w:ascii="Times New Roman" w:hAnsi="Times New Roman" w:eastAsia="方正小标宋简体" w:cs="Times New Roman"/>
          <w:b w:val="0"/>
          <w:bCs/>
          <w:i w:val="0"/>
          <w:caps w:val="0"/>
          <w:color w:val="auto"/>
          <w:spacing w:val="0"/>
          <w:sz w:val="42"/>
          <w:szCs w:val="42"/>
          <w:shd w:val="clear" w:color="auto" w:fill="FFFFFF"/>
        </w:rPr>
        <w:t>十四五</w:t>
      </w:r>
      <w:r>
        <w:rPr>
          <w:rFonts w:hint="eastAsia" w:eastAsia="方正小标宋简体" w:cs="Times New Roman"/>
          <w:b w:val="0"/>
          <w:bCs/>
          <w:i w:val="0"/>
          <w:caps w:val="0"/>
          <w:color w:val="auto"/>
          <w:spacing w:val="0"/>
          <w:sz w:val="42"/>
          <w:szCs w:val="42"/>
          <w:shd w:val="clear" w:color="auto" w:fill="FFFFFF"/>
          <w:lang w:eastAsia="zh-CN"/>
        </w:rPr>
        <w:t>”</w:t>
      </w:r>
      <w:r>
        <w:rPr>
          <w:rFonts w:hint="default" w:ascii="Times New Roman" w:hAnsi="Times New Roman" w:eastAsia="方正小标宋简体" w:cs="Times New Roman"/>
          <w:b w:val="0"/>
          <w:bCs/>
          <w:i w:val="0"/>
          <w:caps w:val="0"/>
          <w:color w:val="auto"/>
          <w:spacing w:val="0"/>
          <w:sz w:val="42"/>
          <w:szCs w:val="42"/>
          <w:shd w:val="clear" w:color="auto" w:fill="FFFFFF"/>
        </w:rPr>
        <w:t>节能减</w:t>
      </w:r>
      <w:r>
        <w:rPr>
          <w:rFonts w:hint="default" w:ascii="Times New Roman" w:hAnsi="Times New Roman" w:eastAsia="方正小标宋简体" w:cs="Times New Roman"/>
          <w:b w:val="0"/>
          <w:bCs/>
          <w:i w:val="0"/>
          <w:caps w:val="0"/>
          <w:color w:val="auto"/>
          <w:spacing w:val="0"/>
          <w:sz w:val="42"/>
          <w:szCs w:val="42"/>
          <w:shd w:val="clear" w:color="auto" w:fill="FFFFFF"/>
          <w:lang w:eastAsia="zh-CN"/>
        </w:rPr>
        <w:t>排</w:t>
      </w:r>
    </w:p>
    <w:p>
      <w:pPr>
        <w:keepNext w:val="0"/>
        <w:keepLines w:val="0"/>
        <w:pageBreakBefore w:val="0"/>
        <w:widowControl w:val="0"/>
        <w:shd w:val="clear" w:color="auto" w:fill="auto"/>
        <w:suppressAutoHyphens/>
        <w:kinsoku/>
        <w:wordWrap/>
        <w:overflowPunct/>
        <w:topLinePunct/>
        <w:autoSpaceDE/>
        <w:autoSpaceDN/>
        <w:bidi w:val="0"/>
        <w:adjustRightInd/>
        <w:snapToGrid/>
        <w:spacing w:line="580" w:lineRule="exact"/>
        <w:ind w:left="0" w:leftChars="0" w:right="0" w:rightChars="0"/>
        <w:jc w:val="center"/>
        <w:textAlignment w:val="auto"/>
        <w:rPr>
          <w:rFonts w:hint="default" w:ascii="Times New Roman" w:hAnsi="Times New Roman" w:eastAsia="方正小标宋简体" w:cs="Times New Roman"/>
          <w:b w:val="0"/>
          <w:bCs/>
          <w:i w:val="0"/>
          <w:caps w:val="0"/>
          <w:color w:val="auto"/>
          <w:spacing w:val="57"/>
          <w:sz w:val="42"/>
          <w:szCs w:val="42"/>
          <w:shd w:val="clear" w:color="auto" w:fill="FFFFFF"/>
        </w:rPr>
      </w:pPr>
      <w:r>
        <w:rPr>
          <w:rFonts w:hint="default" w:ascii="Times New Roman" w:hAnsi="Times New Roman" w:eastAsia="方正小标宋简体" w:cs="Times New Roman"/>
          <w:b w:val="0"/>
          <w:bCs/>
          <w:i w:val="0"/>
          <w:caps w:val="0"/>
          <w:color w:val="auto"/>
          <w:spacing w:val="57"/>
          <w:sz w:val="42"/>
          <w:szCs w:val="42"/>
          <w:shd w:val="clear" w:color="auto" w:fill="FFFFFF"/>
          <w:lang w:eastAsia="zh-CN"/>
        </w:rPr>
        <w:t>综合工作实施</w:t>
      </w:r>
      <w:r>
        <w:rPr>
          <w:rFonts w:hint="default" w:ascii="Times New Roman" w:hAnsi="Times New Roman" w:eastAsia="方正小标宋简体" w:cs="Times New Roman"/>
          <w:b w:val="0"/>
          <w:bCs/>
          <w:i w:val="0"/>
          <w:caps w:val="0"/>
          <w:color w:val="auto"/>
          <w:spacing w:val="57"/>
          <w:sz w:val="42"/>
          <w:szCs w:val="42"/>
          <w:shd w:val="clear" w:color="auto" w:fill="FFFFFF"/>
        </w:rPr>
        <w:t>方案</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autoSpaceDE/>
        <w:autoSpaceDN/>
        <w:bidi w:val="0"/>
        <w:adjustRightInd/>
        <w:snapToGrid/>
        <w:spacing w:beforeAutospacing="0" w:afterAutospacing="0" w:line="580" w:lineRule="exact"/>
        <w:ind w:left="0" w:leftChars="0" w:right="0" w:firstLine="640" w:firstLineChars="200"/>
        <w:jc w:val="both"/>
        <w:textAlignment w:val="auto"/>
        <w:rPr>
          <w:rFonts w:hint="default" w:ascii="Times New Roman" w:hAnsi="Times New Roman" w:eastAsia="宋体" w:cs="Times New Roman"/>
          <w:i w:val="0"/>
          <w:caps w:val="0"/>
          <w:color w:val="auto"/>
          <w:spacing w:val="0"/>
          <w:kern w:val="0"/>
          <w:sz w:val="32"/>
          <w:szCs w:val="32"/>
          <w:lang w:val="en-US" w:eastAsia="zh-CN" w:bidi="ar"/>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rPr>
          <w:rFonts w:hint="eastAsia"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val="en-US" w:eastAsia="zh-CN" w:bidi="ar-SA"/>
        </w:rPr>
        <w:t>为贯彻落实《国务院关于印发“十四五”节能减排综合工作方案的通知》（国发〔2021〕33号）精神，大力推动节能减排，助力实现碳达峰、碳中和目标，结合自治区实际，制定本方案。</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rPr>
          <w:rFonts w:hint="eastAsia" w:ascii="方正黑体_GBK" w:hAnsi="方正黑体_GBK" w:eastAsia="方正黑体_GBK" w:cs="方正黑体_GBK"/>
          <w:b w:val="0"/>
          <w:bCs w:val="0"/>
          <w:i w:val="0"/>
          <w:caps w:val="0"/>
          <w:color w:val="auto"/>
          <w:spacing w:val="0"/>
          <w:kern w:val="0"/>
          <w:sz w:val="32"/>
          <w:szCs w:val="32"/>
          <w:shd w:val="clear" w:color="auto" w:fill="FFFFFF"/>
          <w:lang w:val="en-US" w:eastAsia="zh-CN" w:bidi="ar"/>
        </w:rPr>
      </w:pPr>
      <w:r>
        <w:rPr>
          <w:rFonts w:hint="eastAsia" w:ascii="方正黑体_GBK" w:hAnsi="方正黑体_GBK" w:eastAsia="方正黑体_GBK" w:cs="方正黑体_GBK"/>
          <w:b w:val="0"/>
          <w:bCs w:val="0"/>
          <w:i w:val="0"/>
          <w:caps w:val="0"/>
          <w:color w:val="auto"/>
          <w:spacing w:val="0"/>
          <w:kern w:val="0"/>
          <w:sz w:val="32"/>
          <w:szCs w:val="32"/>
          <w:shd w:val="clear" w:color="auto" w:fill="FFFFFF"/>
          <w:lang w:val="en-US" w:eastAsia="zh-CN" w:bidi="ar"/>
        </w:rPr>
        <w:t>一、总体要求</w:t>
      </w:r>
    </w:p>
    <w:p>
      <w:pPr>
        <w:keepNext w:val="0"/>
        <w:keepLines w:val="0"/>
        <w:pageBreakBefore w:val="0"/>
        <w:widowControl w:val="0"/>
        <w:shd w:val="clear" w:color="auto" w:fill="auto"/>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lang w:val="en-US" w:eastAsia="zh-CN"/>
        </w:rPr>
      </w:pPr>
      <w:r>
        <w:rPr>
          <w:rFonts w:hint="eastAsia" w:ascii="方正仿宋_GBK" w:hAnsi="方正仿宋_GBK" w:eastAsia="方正仿宋_GBK" w:cs="方正仿宋_GBK"/>
          <w:b w:val="0"/>
          <w:bCs w:val="0"/>
          <w:color w:val="auto"/>
          <w:sz w:val="32"/>
          <w:szCs w:val="32"/>
          <w:lang w:eastAsia="zh-CN"/>
        </w:rPr>
        <w:t>以习近平新时代中国特色社会主义思想为指导，全面贯彻党的十九大</w:t>
      </w:r>
      <w:r>
        <w:rPr>
          <w:rFonts w:hint="eastAsia" w:ascii="方正仿宋_GBK" w:hAnsi="方正仿宋_GBK" w:eastAsia="方正仿宋_GBK" w:cs="方正仿宋_GBK"/>
          <w:b w:val="0"/>
          <w:bCs w:val="0"/>
          <w:color w:val="auto"/>
          <w:sz w:val="32"/>
          <w:szCs w:val="32"/>
          <w:lang w:val="en-US" w:eastAsia="zh-CN"/>
        </w:rPr>
        <w:t>和</w:t>
      </w:r>
      <w:r>
        <w:rPr>
          <w:rFonts w:hint="eastAsia" w:ascii="方正仿宋_GBK" w:hAnsi="方正仿宋_GBK" w:eastAsia="方正仿宋_GBK" w:cs="方正仿宋_GBK"/>
          <w:b w:val="0"/>
          <w:bCs w:val="0"/>
          <w:color w:val="auto"/>
          <w:sz w:val="32"/>
          <w:szCs w:val="32"/>
          <w:lang w:eastAsia="zh-CN"/>
        </w:rPr>
        <w:t>十九届历次全会</w:t>
      </w:r>
      <w:r>
        <w:rPr>
          <w:rFonts w:hint="eastAsia" w:ascii="方正仿宋_GBK" w:hAnsi="方正仿宋_GBK" w:eastAsia="方正仿宋_GBK" w:cs="方正仿宋_GBK"/>
          <w:b w:val="0"/>
          <w:bCs w:val="0"/>
          <w:color w:val="auto"/>
          <w:sz w:val="32"/>
          <w:szCs w:val="32"/>
          <w:lang w:val="en-US" w:eastAsia="zh-CN"/>
        </w:rPr>
        <w:t>精神，</w:t>
      </w:r>
      <w:r>
        <w:rPr>
          <w:rFonts w:hint="eastAsia" w:ascii="方正仿宋_GBK" w:hAnsi="方正仿宋_GBK" w:eastAsia="方正仿宋_GBK" w:cs="方正仿宋_GBK"/>
          <w:b w:val="0"/>
          <w:bCs w:val="0"/>
          <w:color w:val="auto"/>
          <w:sz w:val="32"/>
          <w:szCs w:val="32"/>
          <w:lang w:eastAsia="zh-CN"/>
        </w:rPr>
        <w:t>深入</w:t>
      </w:r>
      <w:r>
        <w:rPr>
          <w:rFonts w:hint="eastAsia" w:ascii="方正仿宋_GBK" w:hAnsi="方正仿宋_GBK" w:eastAsia="方正仿宋_GBK" w:cs="方正仿宋_GBK"/>
          <w:b w:val="0"/>
          <w:bCs w:val="0"/>
          <w:color w:val="auto"/>
          <w:sz w:val="32"/>
          <w:szCs w:val="32"/>
          <w:lang w:val="en-US" w:eastAsia="zh-CN"/>
        </w:rPr>
        <w:t>学习</w:t>
      </w:r>
      <w:r>
        <w:rPr>
          <w:rFonts w:hint="eastAsia" w:ascii="方正仿宋_GBK" w:hAnsi="方正仿宋_GBK" w:eastAsia="方正仿宋_GBK" w:cs="方正仿宋_GBK"/>
          <w:b w:val="0"/>
          <w:bCs w:val="0"/>
          <w:color w:val="auto"/>
          <w:sz w:val="32"/>
          <w:szCs w:val="32"/>
          <w:lang w:eastAsia="zh-CN"/>
        </w:rPr>
        <w:t>贯彻习近平生态文明思想，</w:t>
      </w:r>
      <w:r>
        <w:rPr>
          <w:rFonts w:hint="eastAsia" w:ascii="方正仿宋_GBK" w:hAnsi="方正仿宋_GBK" w:eastAsia="方正仿宋_GBK" w:cs="方正仿宋_GBK"/>
          <w:b w:val="0"/>
          <w:bCs w:val="0"/>
          <w:color w:val="auto"/>
          <w:sz w:val="32"/>
          <w:szCs w:val="32"/>
          <w:lang w:val="en-US" w:eastAsia="zh-CN"/>
        </w:rPr>
        <w:t>全面落实</w:t>
      </w:r>
      <w:r>
        <w:rPr>
          <w:rFonts w:hint="eastAsia" w:ascii="方正仿宋_GBK" w:hAnsi="方正仿宋_GBK" w:eastAsia="方正仿宋_GBK" w:cs="方正仿宋_GBK"/>
          <w:b w:val="0"/>
          <w:bCs w:val="0"/>
          <w:color w:val="auto"/>
          <w:sz w:val="32"/>
          <w:szCs w:val="32"/>
          <w:lang w:eastAsia="zh-CN"/>
        </w:rPr>
        <w:t>习近平总书记对内蒙古重要讲话重要指示批示精神，坚持稳字当头、稳中求进</w:t>
      </w:r>
      <w:r>
        <w:rPr>
          <w:rFonts w:hint="eastAsia" w:ascii="方正仿宋_GBK" w:hAnsi="方正仿宋_GBK" w:eastAsia="方正仿宋_GBK" w:cs="方正仿宋_GBK"/>
          <w:b w:val="0"/>
          <w:bCs w:val="0"/>
          <w:color w:val="auto"/>
          <w:sz w:val="32"/>
          <w:szCs w:val="32"/>
          <w:lang w:val="en-US" w:eastAsia="zh-CN"/>
        </w:rPr>
        <w:t>工作总基调，扎实走好</w:t>
      </w:r>
      <w:r>
        <w:rPr>
          <w:rFonts w:hint="eastAsia" w:ascii="方正仿宋_GBK" w:hAnsi="方正仿宋_GBK" w:eastAsia="方正仿宋_GBK" w:cs="方正仿宋_GBK"/>
          <w:b w:val="0"/>
          <w:bCs w:val="0"/>
          <w:color w:val="auto"/>
          <w:sz w:val="32"/>
          <w:szCs w:val="32"/>
          <w:lang w:eastAsia="zh-CN"/>
        </w:rPr>
        <w:t>以生态优先、绿色发展为导向的高质量发展新路子，</w:t>
      </w:r>
      <w:r>
        <w:rPr>
          <w:rFonts w:hint="eastAsia" w:ascii="方正仿宋_GBK" w:hAnsi="方正仿宋_GBK" w:eastAsia="方正仿宋_GBK" w:cs="方正仿宋_GBK"/>
          <w:b w:val="0"/>
          <w:bCs w:val="0"/>
          <w:color w:val="auto"/>
          <w:sz w:val="32"/>
          <w:szCs w:val="32"/>
          <w:lang w:val="en-US" w:eastAsia="zh-CN"/>
        </w:rPr>
        <w:t>深入打好污染防治攻坚战，加快建立健全绿色低碳循环发展经济体系，推进经济社会发展全面绿色低碳转型，</w:t>
      </w:r>
      <w:r>
        <w:rPr>
          <w:rFonts w:hint="eastAsia" w:ascii="方正仿宋_GBK" w:hAnsi="方正仿宋_GBK" w:eastAsia="方正仿宋_GBK" w:cs="方正仿宋_GBK"/>
          <w:b w:val="0"/>
          <w:bCs w:val="0"/>
          <w:color w:val="auto"/>
          <w:sz w:val="32"/>
          <w:szCs w:val="32"/>
          <w:lang w:eastAsia="zh-CN"/>
        </w:rPr>
        <w:t>确保完成</w:t>
      </w:r>
      <w:r>
        <w:rPr>
          <w:rFonts w:hint="eastAsia" w:ascii="方正仿宋_GBK" w:hAnsi="方正仿宋_GBK" w:eastAsia="方正仿宋_GBK" w:cs="方正仿宋_GBK"/>
          <w:b w:val="0"/>
          <w:bCs w:val="0"/>
          <w:color w:val="auto"/>
          <w:sz w:val="32"/>
          <w:szCs w:val="32"/>
          <w:lang w:val="en-US" w:eastAsia="zh-CN"/>
        </w:rPr>
        <w:t>自治区</w:t>
      </w:r>
      <w:r>
        <w:rPr>
          <w:rFonts w:hint="eastAsia" w:ascii="方正仿宋_GBK" w:hAnsi="方正仿宋_GBK" w:eastAsia="方正仿宋_GBK" w:cs="方正仿宋_GBK"/>
          <w:b w:val="0"/>
          <w:bCs w:val="0"/>
          <w:color w:val="auto"/>
          <w:sz w:val="32"/>
          <w:szCs w:val="32"/>
          <w:lang w:eastAsia="zh-CN"/>
        </w:rPr>
        <w:t>“十四五”节能减排目标，</w:t>
      </w:r>
      <w:r>
        <w:rPr>
          <w:rFonts w:hint="eastAsia" w:ascii="方正仿宋_GBK" w:hAnsi="方正仿宋_GBK" w:eastAsia="方正仿宋_GBK" w:cs="方正仿宋_GBK"/>
          <w:b w:val="0"/>
          <w:bCs w:val="0"/>
          <w:color w:val="auto"/>
          <w:sz w:val="32"/>
          <w:szCs w:val="32"/>
          <w:lang w:val="en-US" w:eastAsia="zh-CN"/>
        </w:rPr>
        <w:t>实现降碳、减污、扩绿、增长协同推进，筑牢我国北方重要生态安全屏障。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rPr>
          <w:rFonts w:hint="eastAsia" w:ascii="方正黑体_GBK" w:hAnsi="方正黑体_GBK" w:eastAsia="方正黑体_GBK" w:cs="方正黑体_GBK"/>
          <w:b w:val="0"/>
          <w:bCs w:val="0"/>
          <w:i w:val="0"/>
          <w:caps w:val="0"/>
          <w:color w:val="auto"/>
          <w:spacing w:val="0"/>
          <w:kern w:val="0"/>
          <w:sz w:val="32"/>
          <w:szCs w:val="32"/>
          <w:shd w:val="clear" w:color="auto" w:fill="FFFFFF"/>
          <w:lang w:val="en-US" w:eastAsia="zh-CN" w:bidi="ar"/>
        </w:rPr>
      </w:pPr>
      <w:r>
        <w:rPr>
          <w:rFonts w:hint="eastAsia" w:ascii="方正黑体_GBK" w:hAnsi="方正黑体_GBK" w:eastAsia="方正黑体_GBK" w:cs="方正黑体_GBK"/>
          <w:b w:val="0"/>
          <w:bCs w:val="0"/>
          <w:i w:val="0"/>
          <w:caps w:val="0"/>
          <w:color w:val="auto"/>
          <w:spacing w:val="0"/>
          <w:kern w:val="0"/>
          <w:sz w:val="32"/>
          <w:szCs w:val="32"/>
          <w:shd w:val="clear" w:color="auto" w:fill="FFFFFF"/>
          <w:lang w:val="en-US" w:eastAsia="zh-CN" w:bidi="ar"/>
        </w:rPr>
        <w:t>二、主要目标</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rPr>
          <w:rFonts w:hint="eastAsia" w:ascii="方正仿宋_GBK" w:hAnsi="方正仿宋_GBK" w:eastAsia="方正仿宋_GBK" w:cs="方正仿宋_GBK"/>
          <w:b w:val="0"/>
          <w:bCs w:val="0"/>
          <w:color w:val="auto"/>
          <w:kern w:val="0"/>
          <w:sz w:val="32"/>
          <w:szCs w:val="32"/>
          <w:u w:val="none"/>
          <w:lang w:val="en-US" w:eastAsia="zh-CN" w:bidi="ar"/>
        </w:rPr>
      </w:pPr>
      <w:r>
        <w:rPr>
          <w:rFonts w:hint="eastAsia" w:ascii="方正仿宋_GBK" w:hAnsi="方正仿宋_GBK" w:eastAsia="方正仿宋_GBK" w:cs="方正仿宋_GBK"/>
          <w:b w:val="0"/>
          <w:bCs w:val="0"/>
          <w:color w:val="auto"/>
          <w:kern w:val="0"/>
          <w:sz w:val="32"/>
          <w:szCs w:val="32"/>
          <w:u w:val="none"/>
          <w:lang w:val="en-US" w:eastAsia="zh-CN" w:bidi="ar"/>
        </w:rPr>
        <w:t>到2025年，全区单位地区生产总值能源消耗比2020年下降15%，能源消费总量得到合理控制，化学需氧量、氨氮、氮氧化物、挥发性有机物排放总量比2020年分别下降8%、8%、10%、10%以上。节能减排政策措施和体制机制更加健全，能源利用效率和主要污染物排放控制水平明显提升</w:t>
      </w:r>
      <w:r>
        <w:rPr>
          <w:rFonts w:hint="eastAsia" w:ascii="方正仿宋_GBK" w:hAnsi="方正仿宋_GBK" w:eastAsia="方正仿宋_GBK" w:cs="方正仿宋_GBK"/>
          <w:b w:val="0"/>
          <w:bCs w:val="0"/>
          <w:color w:val="auto"/>
          <w:kern w:val="0"/>
          <w:sz w:val="32"/>
          <w:szCs w:val="32"/>
          <w:lang w:val="en-US" w:eastAsia="zh-CN" w:bidi="ar"/>
        </w:rPr>
        <w:t>，</w:t>
      </w:r>
      <w:r>
        <w:rPr>
          <w:rFonts w:hint="eastAsia" w:ascii="方正仿宋_GBK" w:hAnsi="方正仿宋_GBK" w:eastAsia="方正仿宋_GBK" w:cs="方正仿宋_GBK"/>
          <w:b w:val="0"/>
          <w:bCs w:val="0"/>
          <w:color w:val="auto"/>
          <w:kern w:val="0"/>
          <w:sz w:val="32"/>
          <w:szCs w:val="32"/>
          <w:u w:val="none"/>
          <w:lang w:val="en-US" w:eastAsia="zh-CN" w:bidi="ar"/>
        </w:rPr>
        <w:t>重点行业能效和主要污染物排放基本达到国内先进水平，</w:t>
      </w:r>
      <w:r>
        <w:rPr>
          <w:rFonts w:hint="eastAsia" w:ascii="方正仿宋_GBK" w:hAnsi="方正仿宋_GBK" w:eastAsia="方正仿宋_GBK" w:cs="方正仿宋_GBK"/>
          <w:b w:val="0"/>
          <w:bCs w:val="0"/>
          <w:color w:val="auto"/>
          <w:kern w:val="0"/>
          <w:sz w:val="32"/>
          <w:szCs w:val="32"/>
          <w:lang w:val="en-US" w:eastAsia="zh-CN" w:bidi="ar"/>
        </w:rPr>
        <w:t>经济社会发展由资源依赖型向创新驱动型转变、由粗放高碳型向绿色低碳型转变、由分散低效型向集约高效型转变</w:t>
      </w:r>
      <w:r>
        <w:rPr>
          <w:rFonts w:hint="eastAsia" w:ascii="方正仿宋_GBK" w:hAnsi="方正仿宋_GBK" w:eastAsia="方正仿宋_GBK" w:cs="方正仿宋_GBK"/>
          <w:b w:val="0"/>
          <w:bCs w:val="0"/>
          <w:color w:val="auto"/>
          <w:kern w:val="0"/>
          <w:sz w:val="32"/>
          <w:szCs w:val="32"/>
          <w:u w:val="none"/>
          <w:lang w:val="en-US" w:eastAsia="zh-CN" w:bidi="ar"/>
        </w:rPr>
        <w:t>取得显著成效。</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rPr>
          <w:rFonts w:hint="eastAsia" w:ascii="方正黑体_GBK" w:hAnsi="方正黑体_GBK" w:eastAsia="方正黑体_GBK" w:cs="方正黑体_GBK"/>
          <w:b w:val="0"/>
          <w:bCs w:val="0"/>
          <w:i w:val="0"/>
          <w:caps w:val="0"/>
          <w:color w:val="auto"/>
          <w:spacing w:val="0"/>
          <w:kern w:val="0"/>
          <w:sz w:val="32"/>
          <w:szCs w:val="32"/>
          <w:shd w:val="clear" w:color="auto" w:fill="FFFFFF"/>
          <w:lang w:val="en-US" w:eastAsia="zh-CN" w:bidi="ar"/>
        </w:rPr>
      </w:pPr>
      <w:r>
        <w:rPr>
          <w:rFonts w:hint="eastAsia" w:ascii="方正黑体_GBK" w:hAnsi="方正黑体_GBK" w:eastAsia="方正黑体_GBK" w:cs="方正黑体_GBK"/>
          <w:b w:val="0"/>
          <w:bCs w:val="0"/>
          <w:i w:val="0"/>
          <w:caps w:val="0"/>
          <w:color w:val="auto"/>
          <w:spacing w:val="0"/>
          <w:kern w:val="0"/>
          <w:sz w:val="32"/>
          <w:szCs w:val="32"/>
          <w:shd w:val="clear" w:color="auto" w:fill="FFFFFF"/>
          <w:lang w:val="en-US" w:eastAsia="zh-CN" w:bidi="ar"/>
        </w:rPr>
        <w:t>三、实施节能减排重点工程</w:t>
      </w:r>
    </w:p>
    <w:p>
      <w:pPr>
        <w:keepNext w:val="0"/>
        <w:keepLines w:val="0"/>
        <w:pageBreakBefore w:val="0"/>
        <w:widowControl w:val="0"/>
        <w:shd w:val="clear" w:color="auto" w:fill="auto"/>
        <w:suppressAutoHyphens/>
        <w:kinsoku/>
        <w:wordWrap/>
        <w:overflowPunct/>
        <w:topLinePunct/>
        <w:autoSpaceDE/>
        <w:autoSpaceDN/>
        <w:bidi w:val="0"/>
        <w:adjustRightInd/>
        <w:snapToGrid/>
        <w:spacing w:line="580" w:lineRule="exact"/>
        <w:ind w:right="0" w:rightChars="0" w:firstLine="640" w:firstLineChars="200"/>
        <w:jc w:val="both"/>
        <w:textAlignment w:val="auto"/>
        <w:outlineLvl w:val="9"/>
        <w:rPr>
          <w:rFonts w:hint="eastAsia" w:ascii="方正楷体_GBK" w:hAnsi="方正楷体_GBK" w:eastAsia="方正楷体_GBK" w:cs="方正楷体_GBK"/>
          <w:b w:val="0"/>
          <w:bCs w:val="0"/>
          <w:color w:val="auto"/>
          <w:sz w:val="32"/>
          <w:szCs w:val="32"/>
          <w:lang w:val="en-US" w:eastAsia="zh-CN"/>
        </w:rPr>
      </w:pPr>
      <w:r>
        <w:rPr>
          <w:rFonts w:hint="eastAsia" w:ascii="方正楷体_GBK" w:hAnsi="方正楷体_GBK" w:eastAsia="方正楷体_GBK" w:cs="方正楷体_GBK"/>
          <w:b w:val="0"/>
          <w:bCs w:val="0"/>
          <w:i w:val="0"/>
          <w:caps w:val="0"/>
          <w:color w:val="auto"/>
          <w:spacing w:val="0"/>
          <w:sz w:val="32"/>
          <w:szCs w:val="32"/>
          <w:shd w:val="clear" w:color="auto" w:fill="FFFFFF"/>
        </w:rPr>
        <w:t>（一）重点行业绿色升级工程。</w:t>
      </w:r>
      <w:r>
        <w:rPr>
          <w:rFonts w:hint="eastAsia" w:ascii="方正仿宋_GBK" w:hAnsi="方正仿宋_GBK" w:eastAsia="方正仿宋_GBK" w:cs="方正仿宋_GBK"/>
          <w:b w:val="0"/>
          <w:bCs w:val="0"/>
          <w:color w:val="auto"/>
          <w:spacing w:val="-6"/>
          <w:sz w:val="32"/>
          <w:szCs w:val="32"/>
          <w:lang w:eastAsia="zh-CN"/>
        </w:rPr>
        <w:t>以</w:t>
      </w:r>
      <w:r>
        <w:rPr>
          <w:rFonts w:hint="eastAsia" w:ascii="方正仿宋_GBK" w:hAnsi="方正仿宋_GBK" w:eastAsia="方正仿宋_GBK" w:cs="方正仿宋_GBK"/>
          <w:b w:val="0"/>
          <w:bCs w:val="0"/>
          <w:color w:val="auto"/>
          <w:spacing w:val="-6"/>
          <w:sz w:val="32"/>
          <w:szCs w:val="32"/>
          <w:lang w:val="en-US" w:eastAsia="zh-CN"/>
        </w:rPr>
        <w:t>化工、钢铁、有色、建材、</w:t>
      </w:r>
      <w:r>
        <w:rPr>
          <w:rFonts w:hint="eastAsia" w:ascii="方正仿宋_GBK" w:hAnsi="方正仿宋_GBK" w:eastAsia="方正仿宋_GBK" w:cs="方正仿宋_GBK"/>
          <w:b w:val="0"/>
          <w:bCs w:val="0"/>
          <w:color w:val="auto"/>
          <w:sz w:val="32"/>
          <w:szCs w:val="32"/>
          <w:lang w:val="en-US" w:eastAsia="zh-CN"/>
        </w:rPr>
        <w:t>焦化、煤化工</w:t>
      </w:r>
      <w:r>
        <w:rPr>
          <w:rFonts w:hint="eastAsia" w:ascii="方正仿宋_GBK" w:hAnsi="方正仿宋_GBK" w:eastAsia="方正仿宋_GBK" w:cs="方正仿宋_GBK"/>
          <w:b w:val="0"/>
          <w:bCs w:val="0"/>
          <w:color w:val="auto"/>
          <w:sz w:val="32"/>
          <w:szCs w:val="32"/>
          <w:lang w:eastAsia="zh-CN"/>
        </w:rPr>
        <w:t>等高耗能</w:t>
      </w:r>
      <w:r>
        <w:rPr>
          <w:rFonts w:hint="eastAsia" w:ascii="方正仿宋_GBK" w:hAnsi="方正仿宋_GBK" w:eastAsia="方正仿宋_GBK" w:cs="方正仿宋_GBK"/>
          <w:b w:val="0"/>
          <w:bCs w:val="0"/>
          <w:color w:val="auto"/>
          <w:sz w:val="32"/>
          <w:szCs w:val="32"/>
          <w:lang w:val="en-US" w:eastAsia="zh-CN"/>
        </w:rPr>
        <w:t>高排放</w:t>
      </w:r>
      <w:r>
        <w:rPr>
          <w:rFonts w:hint="eastAsia" w:ascii="方正仿宋_GBK" w:hAnsi="方正仿宋_GBK" w:eastAsia="方正仿宋_GBK" w:cs="方正仿宋_GBK"/>
          <w:b w:val="0"/>
          <w:bCs w:val="0"/>
          <w:color w:val="auto"/>
          <w:sz w:val="32"/>
          <w:szCs w:val="32"/>
          <w:lang w:eastAsia="zh-CN"/>
        </w:rPr>
        <w:t>行业为重点，</w:t>
      </w:r>
      <w:r>
        <w:rPr>
          <w:rFonts w:hint="eastAsia" w:ascii="方正仿宋_GBK" w:hAnsi="方正仿宋_GBK" w:eastAsia="方正仿宋_GBK" w:cs="方正仿宋_GBK"/>
          <w:b w:val="0"/>
          <w:bCs w:val="0"/>
          <w:color w:val="auto"/>
          <w:sz w:val="32"/>
          <w:szCs w:val="32"/>
          <w:lang w:val="en-US" w:eastAsia="zh-CN"/>
        </w:rPr>
        <w:t>全面</w:t>
      </w:r>
      <w:r>
        <w:rPr>
          <w:rFonts w:hint="eastAsia" w:ascii="方正仿宋_GBK" w:hAnsi="方正仿宋_GBK" w:eastAsia="方正仿宋_GBK" w:cs="方正仿宋_GBK"/>
          <w:b w:val="0"/>
          <w:bCs w:val="0"/>
          <w:color w:val="auto"/>
          <w:sz w:val="32"/>
          <w:szCs w:val="32"/>
        </w:rPr>
        <w:t>推进</w:t>
      </w:r>
      <w:r>
        <w:rPr>
          <w:rFonts w:hint="eastAsia" w:ascii="方正仿宋_GBK" w:hAnsi="方正仿宋_GBK" w:eastAsia="方正仿宋_GBK" w:cs="方正仿宋_GBK"/>
          <w:b w:val="0"/>
          <w:bCs w:val="0"/>
          <w:color w:val="auto"/>
          <w:sz w:val="32"/>
          <w:szCs w:val="32"/>
          <w:lang w:val="en-US" w:eastAsia="zh-CN"/>
        </w:rPr>
        <w:t>节能改造和污染物深度治理，制定节能技术改造实施方案，组织实施重大节能减排项目。加强</w:t>
      </w:r>
      <w:r>
        <w:rPr>
          <w:rFonts w:hint="eastAsia" w:ascii="方正仿宋_GBK" w:hAnsi="方正仿宋_GBK" w:eastAsia="方正仿宋_GBK" w:cs="方正仿宋_GBK"/>
          <w:b w:val="0"/>
          <w:bCs w:val="0"/>
          <w:color w:val="auto"/>
          <w:sz w:val="32"/>
          <w:szCs w:val="32"/>
          <w:lang w:eastAsia="zh-CN"/>
        </w:rPr>
        <w:t>重点用能行业节能技术装备创新和应用，</w:t>
      </w:r>
      <w:r>
        <w:rPr>
          <w:rFonts w:hint="eastAsia" w:ascii="方正仿宋_GBK" w:hAnsi="方正仿宋_GBK" w:eastAsia="方正仿宋_GBK" w:cs="方正仿宋_GBK"/>
          <w:b w:val="0"/>
          <w:bCs w:val="0"/>
          <w:color w:val="auto"/>
          <w:sz w:val="32"/>
          <w:szCs w:val="32"/>
          <w:lang w:val="en-US" w:eastAsia="zh-CN"/>
        </w:rPr>
        <w:t>推广高效精馏系统、高温高压干熄焦、富氧强化熔炼等节能技术，鼓励将高炉—转炉长流程炼钢转型为电炉短流程炼钢。推进钢铁、水泥、焦化行业及燃煤锅炉超低排放改造，到2025年，全区80%以上的钢铁产能完成超低排放改造，重点区域保留的燃煤锅炉以及其他地区65蒸吨/小时及以上燃煤锅炉（含电力）全面实现超低排放。开展重点行业清洁生产和工业废水资源化利用改造。推进新型基础设施能效提升，推动既有数据中心绿色节能改造，鼓励绿电替代，推广高效制冷技术、先进通风技术、余热利用技术、</w:t>
      </w:r>
      <w:r>
        <w:rPr>
          <w:rFonts w:hint="eastAsia" w:ascii="方正仿宋_GBK" w:hAnsi="方正仿宋_GBK" w:eastAsia="方正仿宋_GBK" w:cs="方正仿宋_GBK"/>
          <w:b w:val="0"/>
          <w:bCs w:val="0"/>
          <w:color w:val="auto"/>
          <w:sz w:val="32"/>
          <w:szCs w:val="32"/>
        </w:rPr>
        <w:t>能耗管理系统</w:t>
      </w:r>
      <w:r>
        <w:rPr>
          <w:rFonts w:hint="eastAsia" w:ascii="方正仿宋_GBK" w:hAnsi="方正仿宋_GBK" w:eastAsia="方正仿宋_GBK" w:cs="方正仿宋_GBK"/>
          <w:b w:val="0"/>
          <w:bCs w:val="0"/>
          <w:color w:val="auto"/>
          <w:sz w:val="32"/>
          <w:szCs w:val="32"/>
          <w:lang w:val="en-US" w:eastAsia="zh-CN"/>
        </w:rPr>
        <w:t>等。优化数据中心规划布局，新建大型、超大型数据中心原则上布局在国家枢纽节点数据中心集群范围内，达到绿色数据中心建设标准，PUE值（电能利用效率）不超过1.3。“十四五”时期，规模以上工业单位增加值能耗下降20%，万元工业增加值用水量下降13%。到2025年，通过实施节能降碳行动，钢铁、电解铝、水泥、平板玻璃、乙烯、合成氨、电石等重点行业产能和数据中心达到能效标杆水平的比例超过30%。</w:t>
      </w:r>
      <w:r>
        <w:rPr>
          <w:rFonts w:hint="eastAsia" w:ascii="方正楷体_GBK" w:hAnsi="方正楷体_GBK" w:eastAsia="方正楷体_GBK" w:cs="方正楷体_GBK"/>
          <w:b w:val="0"/>
          <w:bCs w:val="0"/>
          <w:color w:val="auto"/>
          <w:sz w:val="32"/>
          <w:szCs w:val="32"/>
          <w:lang w:val="en-US" w:eastAsia="zh-CN"/>
        </w:rPr>
        <w:t>（自治区工业和信息化厅、发展改革委、生态环境厅、市场监管局、能源局、大数据中心等按职责分工负责，各盟行政公署、市人民政府，各旗县级人民政府负责落实。以下均需各盟行政公署、市人民政府，各旗县级人民政府负责落实，不再列出）</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rPr>
          <w:rFonts w:hint="eastAsia" w:ascii="方正楷体_GBK" w:hAnsi="方正楷体_GBK" w:eastAsia="方正楷体_GBK" w:cs="方正楷体_GBK"/>
          <w:b w:val="0"/>
          <w:bCs w:val="0"/>
          <w:color w:val="auto"/>
          <w:kern w:val="2"/>
          <w:sz w:val="32"/>
          <w:szCs w:val="32"/>
          <w:lang w:val="en-US" w:eastAsia="zh-CN" w:bidi="ar-SA"/>
        </w:rPr>
      </w:pPr>
      <w:r>
        <w:rPr>
          <w:rFonts w:hint="eastAsia" w:ascii="方正楷体_GBK" w:hAnsi="方正楷体_GBK" w:eastAsia="方正楷体_GBK" w:cs="方正楷体_GBK"/>
          <w:b w:val="0"/>
          <w:bCs w:val="0"/>
          <w:i w:val="0"/>
          <w:caps w:val="0"/>
          <w:color w:val="auto"/>
          <w:spacing w:val="0"/>
          <w:kern w:val="2"/>
          <w:sz w:val="32"/>
          <w:szCs w:val="32"/>
          <w:shd w:val="clear" w:color="auto" w:fill="FFFFFF"/>
          <w:lang w:val="en-US" w:eastAsia="zh-CN" w:bidi="ar-SA"/>
        </w:rPr>
        <w:t>（二）园区节能环保提升工程。</w:t>
      </w:r>
      <w:r>
        <w:rPr>
          <w:rFonts w:hint="eastAsia" w:ascii="方正仿宋_GBK" w:hAnsi="方正仿宋_GBK" w:eastAsia="方正仿宋_GBK" w:cs="方正仿宋_GBK"/>
          <w:b w:val="0"/>
          <w:bCs w:val="0"/>
          <w:color w:val="auto"/>
          <w:kern w:val="2"/>
          <w:sz w:val="32"/>
          <w:szCs w:val="32"/>
          <w:lang w:val="en-US" w:eastAsia="zh-CN" w:bidi="ar-SA"/>
        </w:rPr>
        <w:t>开展园区绿色低碳循环发展综合诊断，在绿色产业集聚、能源资源利用、清洁生产等方面查找薄弱环节，系统挖掘园区绿色发展潜力。新建高耗能高排放项目原则上要进园区，推进工业企业向园区集聚。推动工业园区能源系统整体优化，鼓励优先利用可再生能源。对园区内污水处理、中水回用等公共基础设施共建共享，对进水浓度异常的污水处理厂开展片区管网系统化整治。推进工业固体废物综合利用，提升危险废物集中贮存和处置能力。推动挥发性有机物、电镀废水及特征污染物集中治理等“绿岛”项目建设。鼓励基础设施完善、用电负荷较大、自主调峰能力较强的工业园区开展低碳示范建设。到2025年，自治区级以上工业园区循环化水平、节能环保水平显著提升</w:t>
      </w:r>
      <w:r>
        <w:rPr>
          <w:rFonts w:hint="eastAsia" w:ascii="方正仿宋_GBK" w:hAnsi="方正仿宋_GBK" w:eastAsia="方正仿宋_GBK" w:cs="方正仿宋_GBK"/>
          <w:b w:val="0"/>
          <w:bCs w:val="0"/>
          <w:color w:val="auto"/>
          <w:kern w:val="2"/>
          <w:sz w:val="32"/>
          <w:szCs w:val="32"/>
          <w:shd w:val="clear" w:color="auto" w:fill="auto"/>
          <w:lang w:val="en-US" w:eastAsia="zh-CN" w:bidi="ar-SA"/>
        </w:rPr>
        <w:t>，建成一批具有代表性的节能环保示范园区。</w:t>
      </w:r>
      <w:r>
        <w:rPr>
          <w:rFonts w:hint="eastAsia" w:ascii="方正楷体_GBK" w:hAnsi="方正楷体_GBK" w:eastAsia="方正楷体_GBK" w:cs="方正楷体_GBK"/>
          <w:b w:val="0"/>
          <w:bCs w:val="0"/>
          <w:color w:val="auto"/>
          <w:kern w:val="2"/>
          <w:sz w:val="32"/>
          <w:szCs w:val="32"/>
          <w:lang w:val="en-US" w:eastAsia="zh-CN" w:bidi="ar-SA"/>
        </w:rPr>
        <w:t>（自治区发展改革委、工业和信息化厅、生态环境厅等按职责分工负责）</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rPr>
          <w:rFonts w:hint="eastAsia" w:ascii="方正楷体_GBK" w:hAnsi="方正楷体_GBK" w:eastAsia="方正楷体_GBK" w:cs="方正楷体_GBK"/>
          <w:b w:val="0"/>
          <w:bCs w:val="0"/>
          <w:color w:val="auto"/>
          <w:kern w:val="2"/>
          <w:sz w:val="32"/>
          <w:szCs w:val="32"/>
          <w:lang w:val="en-US" w:eastAsia="zh-CN" w:bidi="ar-SA"/>
        </w:rPr>
      </w:pPr>
      <w:r>
        <w:rPr>
          <w:rFonts w:hint="eastAsia" w:ascii="方正楷体_GBK" w:hAnsi="方正楷体_GBK" w:eastAsia="方正楷体_GBK" w:cs="方正楷体_GBK"/>
          <w:b w:val="0"/>
          <w:bCs w:val="0"/>
          <w:i w:val="0"/>
          <w:caps w:val="0"/>
          <w:color w:val="auto"/>
          <w:spacing w:val="0"/>
          <w:kern w:val="2"/>
          <w:sz w:val="32"/>
          <w:szCs w:val="32"/>
          <w:shd w:val="clear" w:color="auto" w:fill="FFFFFF"/>
          <w:lang w:val="en-US" w:eastAsia="zh-CN" w:bidi="ar-SA"/>
        </w:rPr>
        <w:t>（三）城镇绿色节能改造工程。</w:t>
      </w:r>
      <w:r>
        <w:rPr>
          <w:rFonts w:hint="eastAsia" w:ascii="方正仿宋_GBK" w:hAnsi="方正仿宋_GBK" w:eastAsia="方正仿宋_GBK" w:cs="方正仿宋_GBK"/>
          <w:b w:val="0"/>
          <w:bCs w:val="0"/>
          <w:color w:val="auto"/>
          <w:kern w:val="2"/>
          <w:sz w:val="32"/>
          <w:szCs w:val="32"/>
          <w:lang w:val="en-US" w:eastAsia="zh-CN" w:bidi="ar-SA"/>
        </w:rPr>
        <w:t>倡导绿色规划设计理念，全面推进城镇绿色规划、建设、运行管理。严格执行新建建筑节能强制性标准，开展超低能耗建筑、近零能耗建</w:t>
      </w:r>
      <w:r>
        <w:rPr>
          <w:rFonts w:hint="eastAsia" w:ascii="方正仿宋_GBK" w:hAnsi="方正仿宋_GBK" w:eastAsia="方正仿宋_GBK" w:cs="方正仿宋_GBK"/>
          <w:b w:val="0"/>
          <w:bCs w:val="0"/>
          <w:color w:val="auto"/>
          <w:kern w:val="0"/>
          <w:sz w:val="32"/>
          <w:szCs w:val="32"/>
          <w:lang w:val="en-US" w:eastAsia="zh-CN" w:bidi="ar"/>
        </w:rPr>
        <w:t>筑、零碳建筑等示范项目。在城镇建筑中推广太阳能光伏一体化应用。组织实施中央空调、数据中心、产业园区、冷链物流等绿色改造重点示范工程，大幅提升制冷系统能效水平，推动清洁取暖、工业余热、可再生能源等在城镇供热中的规模化应用，城镇清洁取暖比例和绿色高效制冷产品市场占有率大幅提升。</w:t>
      </w:r>
      <w:r>
        <w:rPr>
          <w:rFonts w:hint="eastAsia" w:ascii="方正仿宋_GBK" w:hAnsi="方正仿宋_GBK" w:eastAsia="方正仿宋_GBK" w:cs="方正仿宋_GBK"/>
          <w:b w:val="0"/>
          <w:bCs w:val="0"/>
          <w:color w:val="auto"/>
          <w:kern w:val="2"/>
          <w:sz w:val="32"/>
          <w:szCs w:val="32"/>
          <w:lang w:val="en-US" w:eastAsia="zh-CN" w:bidi="ar-SA"/>
        </w:rPr>
        <w:t>开展公共供水</w:t>
      </w:r>
      <w:r>
        <w:rPr>
          <w:rFonts w:hint="eastAsia" w:ascii="方正仿宋_GBK" w:hAnsi="方正仿宋_GBK" w:eastAsia="方正仿宋_GBK" w:cs="方正仿宋_GBK"/>
          <w:b w:val="0"/>
          <w:bCs w:val="0"/>
          <w:color w:val="auto"/>
          <w:kern w:val="0"/>
          <w:sz w:val="32"/>
          <w:szCs w:val="32"/>
          <w:lang w:val="en-US" w:eastAsia="zh-CN" w:bidi="ar"/>
        </w:rPr>
        <w:t>管网漏损治理，争取国家试点建设。到2025年，城镇新建建筑全面执行绿色建筑标准，既有居住建筑节能改造完成1000万平方米，绿色建筑从单体、组团向小区化、区域化发展；</w:t>
      </w:r>
      <w:r>
        <w:rPr>
          <w:rFonts w:hint="eastAsia" w:ascii="方正仿宋_GBK" w:hAnsi="方正仿宋_GBK" w:eastAsia="方正仿宋_GBK" w:cs="方正仿宋_GBK"/>
          <w:b w:val="0"/>
          <w:bCs w:val="0"/>
          <w:color w:val="auto"/>
          <w:kern w:val="2"/>
          <w:sz w:val="32"/>
          <w:szCs w:val="32"/>
          <w:lang w:val="en-US" w:eastAsia="zh-CN" w:bidi="ar-SA"/>
        </w:rPr>
        <w:t>培育低碳城市、海绵城市、“无废城市”各1—2个示范试点。</w:t>
      </w:r>
      <w:r>
        <w:rPr>
          <w:rFonts w:hint="eastAsia" w:ascii="方正楷体_GBK" w:hAnsi="方正楷体_GBK" w:eastAsia="方正楷体_GBK" w:cs="方正楷体_GBK"/>
          <w:b w:val="0"/>
          <w:bCs w:val="0"/>
          <w:color w:val="auto"/>
          <w:kern w:val="2"/>
          <w:sz w:val="32"/>
          <w:szCs w:val="32"/>
          <w:lang w:val="en-US" w:eastAsia="zh-CN" w:bidi="ar-SA"/>
        </w:rPr>
        <w:t>（自治区住房城乡建设厅、生态环境厅、发展改革委、自然资源厅、交通运输厅、市场监管局、能源局等按职责分工负责）</w:t>
      </w:r>
    </w:p>
    <w:p>
      <w:pPr>
        <w:keepNext w:val="0"/>
        <w:keepLines w:val="0"/>
        <w:pageBreakBefore w:val="0"/>
        <w:widowControl w:val="0"/>
        <w:shd w:val="clear" w:color="auto" w:fill="auto"/>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1"/>
        <w:rPr>
          <w:rFonts w:hint="eastAsia" w:ascii="方正楷体_GBK" w:hAnsi="方正楷体_GBK" w:eastAsia="方正楷体_GBK" w:cs="方正楷体_GBK"/>
          <w:b w:val="0"/>
          <w:bCs w:val="0"/>
          <w:color w:val="auto"/>
          <w:kern w:val="2"/>
          <w:sz w:val="32"/>
          <w:szCs w:val="32"/>
          <w:lang w:val="en-US" w:eastAsia="zh-CN" w:bidi="ar-SA"/>
        </w:rPr>
      </w:pPr>
      <w:r>
        <w:rPr>
          <w:rFonts w:hint="eastAsia" w:ascii="方正楷体_GBK" w:hAnsi="方正楷体_GBK" w:eastAsia="方正楷体_GBK" w:cs="方正楷体_GBK"/>
          <w:b w:val="0"/>
          <w:bCs w:val="0"/>
          <w:i w:val="0"/>
          <w:caps w:val="0"/>
          <w:color w:val="auto"/>
          <w:spacing w:val="0"/>
          <w:kern w:val="2"/>
          <w:sz w:val="32"/>
          <w:szCs w:val="32"/>
          <w:shd w:val="clear" w:color="auto" w:fill="FFFFFF"/>
          <w:lang w:val="en-US" w:eastAsia="zh-CN" w:bidi="ar-SA"/>
        </w:rPr>
        <w:t>（四）交通物流节能减排工程。</w:t>
      </w:r>
      <w:r>
        <w:rPr>
          <w:rFonts w:hint="eastAsia" w:ascii="方正仿宋_GBK" w:hAnsi="方正仿宋_GBK" w:eastAsia="方正仿宋_GBK" w:cs="方正仿宋_GBK"/>
          <w:b w:val="0"/>
          <w:bCs w:val="0"/>
          <w:color w:val="auto"/>
          <w:spacing w:val="-6"/>
          <w:sz w:val="32"/>
          <w:szCs w:val="32"/>
          <w:lang w:val="en-US" w:eastAsia="zh-CN"/>
        </w:rPr>
        <w:t>开展绿色综合交通体系建设，</w:t>
      </w:r>
      <w:r>
        <w:rPr>
          <w:rFonts w:hint="eastAsia" w:ascii="方正仿宋_GBK" w:hAnsi="方正仿宋_GBK" w:eastAsia="方正仿宋_GBK" w:cs="方正仿宋_GBK"/>
          <w:b w:val="0"/>
          <w:bCs w:val="0"/>
          <w:color w:val="auto"/>
          <w:kern w:val="0"/>
          <w:sz w:val="32"/>
          <w:szCs w:val="32"/>
          <w:lang w:val="en-US" w:eastAsia="zh-CN" w:bidi="ar"/>
        </w:rPr>
        <w:t>完善充换电、加注（气）、加氢、机场岸电等基础设施，加快运输结构转型和出行方式转变，实施清洁能源替代。</w:t>
      </w:r>
      <w:r>
        <w:rPr>
          <w:rFonts w:hint="eastAsia" w:ascii="方正仿宋_GBK" w:hAnsi="方正仿宋_GBK" w:eastAsia="方正仿宋_GBK" w:cs="方正仿宋_GBK"/>
          <w:b w:val="0"/>
          <w:bCs w:val="0"/>
          <w:color w:val="auto"/>
          <w:sz w:val="32"/>
          <w:szCs w:val="32"/>
          <w:lang w:eastAsia="zh-CN"/>
        </w:rPr>
        <w:t>落实“公交优先”战略，</w:t>
      </w:r>
      <w:r>
        <w:rPr>
          <w:rFonts w:hint="eastAsia" w:ascii="方正仿宋_GBK" w:hAnsi="方正仿宋_GBK" w:eastAsia="方正仿宋_GBK" w:cs="方正仿宋_GBK"/>
          <w:b w:val="0"/>
          <w:bCs w:val="0"/>
          <w:color w:val="auto"/>
          <w:sz w:val="32"/>
          <w:szCs w:val="32"/>
        </w:rPr>
        <w:t>引导公众优先选择绿色低碳出行方式。</w:t>
      </w:r>
      <w:r>
        <w:rPr>
          <w:rFonts w:hint="eastAsia" w:ascii="方正仿宋_GBK" w:hAnsi="方正仿宋_GBK" w:eastAsia="方正仿宋_GBK" w:cs="方正仿宋_GBK"/>
          <w:b w:val="0"/>
          <w:bCs w:val="0"/>
          <w:color w:val="auto"/>
          <w:sz w:val="32"/>
          <w:szCs w:val="32"/>
          <w:lang w:val="en-US" w:eastAsia="zh-CN"/>
        </w:rPr>
        <w:t>持续推动大宗货物运输“公转铁”，提高清洁运输比例。</w:t>
      </w:r>
      <w:r>
        <w:rPr>
          <w:rFonts w:hint="eastAsia" w:ascii="方正仿宋_GBK" w:hAnsi="方正仿宋_GBK" w:eastAsia="方正仿宋_GBK" w:cs="方正仿宋_GBK"/>
          <w:b w:val="0"/>
          <w:bCs w:val="0"/>
          <w:color w:val="auto"/>
          <w:sz w:val="32"/>
          <w:szCs w:val="32"/>
          <w:lang w:eastAsia="zh-CN"/>
        </w:rPr>
        <w:t>提升铁路电气化水平，推广低能耗运输装备。</w:t>
      </w:r>
      <w:r>
        <w:rPr>
          <w:rFonts w:hint="eastAsia" w:ascii="方正仿宋_GBK" w:hAnsi="方正仿宋_GBK" w:eastAsia="方正仿宋_GBK" w:cs="方正仿宋_GBK"/>
          <w:b w:val="0"/>
          <w:bCs w:val="0"/>
          <w:i w:val="0"/>
          <w:caps w:val="0"/>
          <w:color w:val="auto"/>
          <w:spacing w:val="0"/>
          <w:sz w:val="32"/>
          <w:szCs w:val="32"/>
          <w:u w:val="none"/>
        </w:rPr>
        <w:t>严格执行老旧交通运输工具报废、更新制度。全面实施汽车国六排放标准和非道路移动柴油机械国四排放标准，大力推进老旧机动车提前淘汰更新</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i w:val="0"/>
          <w:caps w:val="0"/>
          <w:color w:val="auto"/>
          <w:spacing w:val="0"/>
          <w:sz w:val="32"/>
          <w:szCs w:val="32"/>
          <w:u w:val="none"/>
        </w:rPr>
        <w:t>深入实施清洁柴油机行动，鼓励重型柴油货车更新替代。实施汽车排放检验与维护制度，加强机动车排放召回管理。大力发展智能交通，积极运用大数据优化运输组织模式。加快绿色仓储建设，鼓励建设绿色物流园区。加快标准化物流周转箱推广应用。全面推广绿色快递包装，引导电商企业、邮政快递企业选购使用获得绿色认证的快递包装产品。</w:t>
      </w:r>
      <w:r>
        <w:rPr>
          <w:rFonts w:hint="eastAsia" w:ascii="方正仿宋_GBK" w:hAnsi="方正仿宋_GBK" w:eastAsia="方正仿宋_GBK" w:cs="方正仿宋_GBK"/>
          <w:b w:val="0"/>
          <w:bCs w:val="0"/>
          <w:color w:val="auto"/>
          <w:sz w:val="32"/>
          <w:szCs w:val="32"/>
        </w:rPr>
        <w:t>到2025年，</w:t>
      </w:r>
      <w:r>
        <w:rPr>
          <w:rFonts w:hint="eastAsia" w:ascii="方正仿宋_GBK" w:hAnsi="方正仿宋_GBK" w:eastAsia="方正仿宋_GBK" w:cs="方正仿宋_GBK"/>
          <w:b w:val="0"/>
          <w:bCs w:val="0"/>
          <w:i w:val="0"/>
          <w:caps w:val="0"/>
          <w:color w:val="auto"/>
          <w:spacing w:val="0"/>
          <w:sz w:val="32"/>
          <w:szCs w:val="32"/>
          <w:u w:val="none"/>
          <w:lang w:eastAsia="zh-CN"/>
        </w:rPr>
        <w:t>基本</w:t>
      </w:r>
      <w:r>
        <w:rPr>
          <w:rFonts w:hint="eastAsia" w:ascii="方正仿宋_GBK" w:hAnsi="方正仿宋_GBK" w:eastAsia="方正仿宋_GBK" w:cs="方正仿宋_GBK"/>
          <w:b w:val="0"/>
          <w:bCs w:val="0"/>
          <w:i w:val="0"/>
          <w:caps w:val="0"/>
          <w:color w:val="auto"/>
          <w:spacing w:val="0"/>
          <w:sz w:val="32"/>
          <w:szCs w:val="32"/>
          <w:u w:val="none"/>
        </w:rPr>
        <w:t>淘汰国</w:t>
      </w:r>
      <w:r>
        <w:rPr>
          <w:rFonts w:hint="eastAsia" w:ascii="方正仿宋_GBK" w:hAnsi="方正仿宋_GBK" w:eastAsia="方正仿宋_GBK" w:cs="方正仿宋_GBK"/>
          <w:b w:val="0"/>
          <w:bCs w:val="0"/>
          <w:i w:val="0"/>
          <w:caps w:val="0"/>
          <w:color w:val="auto"/>
          <w:spacing w:val="0"/>
          <w:sz w:val="32"/>
          <w:szCs w:val="32"/>
          <w:u w:val="none"/>
          <w:lang w:eastAsia="zh-CN"/>
        </w:rPr>
        <w:t>三</w:t>
      </w:r>
      <w:r>
        <w:rPr>
          <w:rFonts w:hint="eastAsia" w:ascii="方正仿宋_GBK" w:hAnsi="方正仿宋_GBK" w:eastAsia="方正仿宋_GBK" w:cs="方正仿宋_GBK"/>
          <w:b w:val="0"/>
          <w:bCs w:val="0"/>
          <w:i w:val="0"/>
          <w:caps w:val="0"/>
          <w:color w:val="auto"/>
          <w:spacing w:val="0"/>
          <w:sz w:val="32"/>
          <w:szCs w:val="32"/>
          <w:u w:val="none"/>
        </w:rPr>
        <w:t>及以下排放标准的柴油</w:t>
      </w:r>
      <w:r>
        <w:rPr>
          <w:rFonts w:hint="eastAsia" w:ascii="方正仿宋_GBK" w:hAnsi="方正仿宋_GBK" w:eastAsia="方正仿宋_GBK" w:cs="方正仿宋_GBK"/>
          <w:b w:val="0"/>
          <w:bCs w:val="0"/>
          <w:i w:val="0"/>
          <w:caps w:val="0"/>
          <w:color w:val="auto"/>
          <w:spacing w:val="0"/>
          <w:sz w:val="32"/>
          <w:szCs w:val="32"/>
          <w:u w:val="none"/>
          <w:lang w:eastAsia="zh-CN"/>
        </w:rPr>
        <w:t>汽车</w:t>
      </w:r>
      <w:r>
        <w:rPr>
          <w:rFonts w:hint="eastAsia" w:ascii="方正仿宋_GBK" w:hAnsi="方正仿宋_GBK" w:eastAsia="方正仿宋_GBK" w:cs="方正仿宋_GBK"/>
          <w:b w:val="0"/>
          <w:bCs w:val="0"/>
          <w:i w:val="0"/>
          <w:caps w:val="0"/>
          <w:color w:val="auto"/>
          <w:spacing w:val="0"/>
          <w:sz w:val="32"/>
          <w:szCs w:val="32"/>
          <w:u w:val="none"/>
        </w:rPr>
        <w:t>，</w:t>
      </w:r>
      <w:r>
        <w:rPr>
          <w:rFonts w:hint="eastAsia" w:ascii="方正仿宋_GBK" w:hAnsi="方正仿宋_GBK" w:eastAsia="方正仿宋_GBK" w:cs="方正仿宋_GBK"/>
          <w:b w:val="0"/>
          <w:bCs w:val="0"/>
          <w:color w:val="auto"/>
          <w:sz w:val="32"/>
          <w:szCs w:val="32"/>
          <w:lang w:eastAsia="zh-CN"/>
        </w:rPr>
        <w:t>全区</w:t>
      </w:r>
      <w:r>
        <w:rPr>
          <w:rFonts w:hint="eastAsia" w:ascii="方正仿宋_GBK" w:hAnsi="方正仿宋_GBK" w:eastAsia="方正仿宋_GBK" w:cs="方正仿宋_GBK"/>
          <w:b w:val="0"/>
          <w:bCs w:val="0"/>
          <w:color w:val="auto"/>
          <w:sz w:val="32"/>
          <w:szCs w:val="32"/>
        </w:rPr>
        <w:t>新能源及清洁能源公交车比例达到80%</w:t>
      </w:r>
      <w:r>
        <w:rPr>
          <w:rFonts w:hint="eastAsia" w:ascii="方正仿宋_GBK" w:hAnsi="方正仿宋_GBK" w:eastAsia="方正仿宋_GBK" w:cs="方正仿宋_GBK"/>
          <w:b w:val="0"/>
          <w:bCs w:val="0"/>
          <w:color w:val="auto"/>
          <w:sz w:val="32"/>
          <w:szCs w:val="32"/>
          <w:lang w:val="en-US" w:eastAsia="zh-CN"/>
        </w:rPr>
        <w:t>，铁路货运量比2020年增长10%左右；</w:t>
      </w:r>
      <w:r>
        <w:rPr>
          <w:rFonts w:hint="eastAsia" w:ascii="方正仿宋_GBK" w:hAnsi="方正仿宋_GBK" w:eastAsia="方正仿宋_GBK" w:cs="方正仿宋_GBK"/>
          <w:b w:val="0"/>
          <w:bCs w:val="0"/>
          <w:color w:val="auto"/>
          <w:sz w:val="32"/>
          <w:szCs w:val="32"/>
        </w:rPr>
        <w:t>12个盟市主城区公共交通出行率达</w:t>
      </w:r>
      <w:r>
        <w:rPr>
          <w:rFonts w:hint="eastAsia" w:ascii="方正仿宋_GBK" w:hAnsi="方正仿宋_GBK" w:eastAsia="方正仿宋_GBK" w:cs="方正仿宋_GBK"/>
          <w:b w:val="0"/>
          <w:bCs w:val="0"/>
          <w:color w:val="auto"/>
          <w:sz w:val="32"/>
          <w:szCs w:val="32"/>
          <w:lang w:eastAsia="zh-CN"/>
        </w:rPr>
        <w:t>到</w:t>
      </w:r>
      <w:r>
        <w:rPr>
          <w:rFonts w:hint="eastAsia" w:ascii="方正仿宋_GBK" w:hAnsi="方正仿宋_GBK" w:eastAsia="方正仿宋_GBK" w:cs="方正仿宋_GBK"/>
          <w:b w:val="0"/>
          <w:bCs w:val="0"/>
          <w:color w:val="auto"/>
          <w:sz w:val="32"/>
          <w:szCs w:val="32"/>
        </w:rPr>
        <w:t>20%，城市主城区交通绿色出行率达</w:t>
      </w:r>
      <w:r>
        <w:rPr>
          <w:rFonts w:hint="eastAsia" w:ascii="方正仿宋_GBK" w:hAnsi="方正仿宋_GBK" w:eastAsia="方正仿宋_GBK" w:cs="方正仿宋_GBK"/>
          <w:b w:val="0"/>
          <w:bCs w:val="0"/>
          <w:color w:val="auto"/>
          <w:sz w:val="32"/>
          <w:szCs w:val="32"/>
          <w:lang w:eastAsia="zh-CN"/>
        </w:rPr>
        <w:t>到</w:t>
      </w:r>
      <w:r>
        <w:rPr>
          <w:rFonts w:hint="eastAsia" w:ascii="方正仿宋_GBK" w:hAnsi="方正仿宋_GBK" w:eastAsia="方正仿宋_GBK" w:cs="方正仿宋_GBK"/>
          <w:b w:val="0"/>
          <w:bCs w:val="0"/>
          <w:color w:val="auto"/>
          <w:sz w:val="32"/>
          <w:szCs w:val="32"/>
        </w:rPr>
        <w:t>65%</w:t>
      </w:r>
      <w:r>
        <w:rPr>
          <w:rFonts w:hint="eastAsia" w:ascii="方正仿宋_GBK" w:hAnsi="方正仿宋_GBK" w:eastAsia="方正仿宋_GBK" w:cs="方正仿宋_GBK"/>
          <w:b w:val="0"/>
          <w:bCs w:val="0"/>
          <w:color w:val="auto"/>
          <w:sz w:val="32"/>
          <w:szCs w:val="32"/>
          <w:lang w:eastAsia="zh-CN"/>
        </w:rPr>
        <w:t>。</w:t>
      </w:r>
      <w:r>
        <w:rPr>
          <w:rFonts w:hint="eastAsia" w:ascii="方正楷体_GBK" w:hAnsi="方正楷体_GBK" w:eastAsia="方正楷体_GBK" w:cs="方正楷体_GBK"/>
          <w:b w:val="0"/>
          <w:bCs w:val="0"/>
          <w:color w:val="auto"/>
          <w:kern w:val="2"/>
          <w:sz w:val="32"/>
          <w:szCs w:val="32"/>
          <w:lang w:val="en-US" w:eastAsia="zh-CN" w:bidi="ar-SA"/>
        </w:rPr>
        <w:t>（自治区交通运输厅、发展改革委、工业和信息化厅、公安厅、财政厅、生态环境厅、住房城乡建设厅、商务厅、市场监管局、能源局，内蒙古邮政管理局、中国铁路呼和浩特局集团有限公司、内蒙古集通铁路〔集团〕有限责任公司等按职责分工负责）</w:t>
      </w:r>
    </w:p>
    <w:p>
      <w:pPr>
        <w:keepNext w:val="0"/>
        <w:keepLines w:val="0"/>
        <w:pageBreakBefore w:val="0"/>
        <w:widowControl w:val="0"/>
        <w:shd w:val="clear" w:color="auto" w:fill="auto"/>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1"/>
        <w:rPr>
          <w:rFonts w:hint="eastAsia" w:ascii="方正楷体_GBK" w:hAnsi="方正楷体_GBK" w:eastAsia="方正楷体_GBK" w:cs="方正楷体_GBK"/>
          <w:b w:val="0"/>
          <w:bCs w:val="0"/>
          <w:color w:val="auto"/>
          <w:kern w:val="2"/>
          <w:sz w:val="32"/>
          <w:szCs w:val="32"/>
          <w:lang w:val="en-US" w:eastAsia="zh-CN" w:bidi="ar-SA"/>
        </w:rPr>
      </w:pPr>
      <w:r>
        <w:rPr>
          <w:rFonts w:hint="eastAsia" w:ascii="方正楷体_GBK" w:hAnsi="方正楷体_GBK" w:eastAsia="方正楷体_GBK" w:cs="方正楷体_GBK"/>
          <w:b w:val="0"/>
          <w:bCs w:val="0"/>
          <w:i w:val="0"/>
          <w:caps w:val="0"/>
          <w:color w:val="auto"/>
          <w:spacing w:val="0"/>
          <w:kern w:val="2"/>
          <w:sz w:val="32"/>
          <w:szCs w:val="32"/>
          <w:shd w:val="clear" w:color="auto" w:fill="FFFFFF"/>
          <w:lang w:val="en-US" w:eastAsia="zh-CN" w:bidi="ar-SA"/>
        </w:rPr>
        <w:t>（五）农牧业节能减排工程。</w:t>
      </w:r>
      <w:r>
        <w:rPr>
          <w:rFonts w:hint="eastAsia" w:ascii="方正仿宋_GBK" w:hAnsi="方正仿宋_GBK" w:eastAsia="方正仿宋_GBK" w:cs="方正仿宋_GBK"/>
          <w:b w:val="0"/>
          <w:bCs w:val="0"/>
          <w:color w:val="auto"/>
          <w:sz w:val="32"/>
          <w:szCs w:val="32"/>
        </w:rPr>
        <w:t>推广</w:t>
      </w:r>
      <w:r>
        <w:rPr>
          <w:rFonts w:hint="eastAsia" w:ascii="方正仿宋_GBK" w:hAnsi="方正仿宋_GBK" w:eastAsia="方正仿宋_GBK" w:cs="方正仿宋_GBK"/>
          <w:b w:val="0"/>
          <w:bCs w:val="0"/>
          <w:color w:val="auto"/>
          <w:sz w:val="32"/>
          <w:szCs w:val="32"/>
          <w:lang w:val="en-US" w:eastAsia="zh-CN"/>
        </w:rPr>
        <w:t>使用节油、环保农机和设备，发展节能农业大棚，鼓励农村住房采用新型建造技术，使用绿色建材，运用光伏发电系统，使用清洁取暖设备。开展农村人居环境整治提升行动，</w:t>
      </w:r>
      <w:r>
        <w:rPr>
          <w:rFonts w:hint="eastAsia" w:ascii="方正仿宋_GBK" w:hAnsi="方正仿宋_GBK" w:eastAsia="方正仿宋_GBK" w:cs="方正仿宋_GBK"/>
          <w:b w:val="0"/>
          <w:bCs w:val="0"/>
          <w:color w:val="auto"/>
          <w:sz w:val="32"/>
          <w:szCs w:val="32"/>
        </w:rPr>
        <w:t>提高农村</w:t>
      </w:r>
      <w:r>
        <w:rPr>
          <w:rFonts w:hint="eastAsia" w:ascii="方正仿宋_GBK" w:hAnsi="方正仿宋_GBK" w:eastAsia="方正仿宋_GBK" w:cs="方正仿宋_GBK"/>
          <w:b w:val="0"/>
          <w:bCs w:val="0"/>
          <w:color w:val="auto"/>
          <w:sz w:val="32"/>
          <w:szCs w:val="32"/>
          <w:lang w:eastAsia="zh-CN"/>
        </w:rPr>
        <w:t>生活</w:t>
      </w:r>
      <w:r>
        <w:rPr>
          <w:rFonts w:hint="eastAsia" w:ascii="方正仿宋_GBK" w:hAnsi="方正仿宋_GBK" w:eastAsia="方正仿宋_GBK" w:cs="方正仿宋_GBK"/>
          <w:b w:val="0"/>
          <w:bCs w:val="0"/>
          <w:color w:val="auto"/>
          <w:sz w:val="32"/>
          <w:szCs w:val="32"/>
        </w:rPr>
        <w:t>污水垃圾处理能力，基本消除较大面积的农村黑臭水体</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lang w:val="en-US" w:eastAsia="zh-CN"/>
        </w:rPr>
        <w:t>村容村貌显著提升。</w:t>
      </w:r>
      <w:r>
        <w:rPr>
          <w:rFonts w:hint="eastAsia" w:ascii="方正仿宋_GBK" w:hAnsi="方正仿宋_GBK" w:eastAsia="方正仿宋_GBK" w:cs="方正仿宋_GBK"/>
          <w:b w:val="0"/>
          <w:bCs w:val="0"/>
          <w:color w:val="auto"/>
          <w:sz w:val="32"/>
          <w:szCs w:val="32"/>
        </w:rPr>
        <w:t>强化农业面源污染防治，推进</w:t>
      </w:r>
      <w:r>
        <w:rPr>
          <w:rFonts w:hint="eastAsia" w:ascii="方正仿宋_GBK" w:hAnsi="方正仿宋_GBK" w:eastAsia="方正仿宋_GBK" w:cs="方正仿宋_GBK"/>
          <w:b w:val="0"/>
          <w:bCs w:val="0"/>
          <w:color w:val="auto"/>
          <w:sz w:val="32"/>
          <w:szCs w:val="32"/>
          <w:lang w:eastAsia="zh-CN"/>
        </w:rPr>
        <w:t>化肥化学农药减量化</w:t>
      </w:r>
      <w:r>
        <w:rPr>
          <w:rFonts w:hint="eastAsia" w:ascii="方正仿宋_GBK" w:hAnsi="方正仿宋_GBK" w:eastAsia="方正仿宋_GBK" w:cs="方正仿宋_GBK"/>
          <w:b w:val="0"/>
          <w:bCs w:val="0"/>
          <w:color w:val="auto"/>
          <w:sz w:val="32"/>
          <w:szCs w:val="32"/>
        </w:rPr>
        <w:t>、秸秆综合利用，加快农膜和农药包装废弃物回收处理。深入推进规模养殖场畜禽粪污综合利用</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到2025年，农村生活污水治理率达到</w:t>
      </w:r>
      <w:r>
        <w:rPr>
          <w:rFonts w:hint="eastAsia" w:ascii="方正仿宋_GBK" w:hAnsi="方正仿宋_GBK" w:eastAsia="方正仿宋_GBK" w:cs="方正仿宋_GBK"/>
          <w:b w:val="0"/>
          <w:bCs w:val="0"/>
          <w:color w:val="auto"/>
          <w:sz w:val="32"/>
          <w:szCs w:val="32"/>
          <w:lang w:val="en-US" w:eastAsia="zh-CN"/>
        </w:rPr>
        <w:t>32</w:t>
      </w:r>
      <w:r>
        <w:rPr>
          <w:rFonts w:hint="eastAsia" w:ascii="方正仿宋_GBK" w:hAnsi="方正仿宋_GBK" w:eastAsia="方正仿宋_GBK" w:cs="方正仿宋_GBK"/>
          <w:b w:val="0"/>
          <w:bCs w:val="0"/>
          <w:color w:val="auto"/>
          <w:sz w:val="32"/>
          <w:szCs w:val="32"/>
        </w:rPr>
        <w:t>%</w:t>
      </w:r>
      <w:r>
        <w:rPr>
          <w:rFonts w:hint="eastAsia" w:ascii="方正仿宋_GBK" w:hAnsi="方正仿宋_GBK" w:eastAsia="方正仿宋_GBK" w:cs="方正仿宋_GBK"/>
          <w:b w:val="0"/>
          <w:bCs w:val="0"/>
          <w:color w:val="auto"/>
          <w:sz w:val="32"/>
          <w:szCs w:val="32"/>
          <w:lang w:eastAsia="zh-CN"/>
        </w:rPr>
        <w:t>左右</w:t>
      </w:r>
      <w:r>
        <w:rPr>
          <w:rFonts w:hint="eastAsia" w:ascii="方正仿宋_GBK" w:hAnsi="方正仿宋_GBK" w:eastAsia="方正仿宋_GBK" w:cs="方正仿宋_GBK"/>
          <w:b w:val="0"/>
          <w:bCs w:val="0"/>
          <w:color w:val="auto"/>
          <w:sz w:val="32"/>
          <w:szCs w:val="32"/>
        </w:rPr>
        <w:t>，秸秆综合利用率稳定在</w:t>
      </w:r>
      <w:r>
        <w:rPr>
          <w:rFonts w:hint="eastAsia" w:ascii="方正仿宋_GBK" w:hAnsi="方正仿宋_GBK" w:eastAsia="方正仿宋_GBK" w:cs="方正仿宋_GBK"/>
          <w:b w:val="0"/>
          <w:bCs w:val="0"/>
          <w:color w:val="auto"/>
          <w:sz w:val="32"/>
          <w:szCs w:val="32"/>
          <w:lang w:val="en-US" w:eastAsia="zh-CN"/>
        </w:rPr>
        <w:t>90</w:t>
      </w:r>
      <w:r>
        <w:rPr>
          <w:rFonts w:hint="eastAsia" w:ascii="方正仿宋_GBK" w:hAnsi="方正仿宋_GBK" w:eastAsia="方正仿宋_GBK" w:cs="方正仿宋_GBK"/>
          <w:b w:val="0"/>
          <w:bCs w:val="0"/>
          <w:color w:val="auto"/>
          <w:sz w:val="32"/>
          <w:szCs w:val="32"/>
        </w:rPr>
        <w:t>%以上，主要农作物化肥、农药利用率均达到43%以上，</w:t>
      </w:r>
      <w:r>
        <w:rPr>
          <w:rFonts w:hint="eastAsia" w:ascii="方正仿宋_GBK" w:hAnsi="方正仿宋_GBK" w:eastAsia="方正仿宋_GBK" w:cs="方正仿宋_GBK"/>
          <w:b w:val="0"/>
          <w:bCs w:val="0"/>
          <w:color w:val="auto"/>
          <w:sz w:val="32"/>
          <w:szCs w:val="32"/>
          <w:u w:val="none"/>
        </w:rPr>
        <w:t>畜禽粪污综合利用率达到8</w:t>
      </w:r>
      <w:r>
        <w:rPr>
          <w:rFonts w:hint="eastAsia" w:ascii="方正仿宋_GBK" w:hAnsi="方正仿宋_GBK" w:eastAsia="方正仿宋_GBK" w:cs="方正仿宋_GBK"/>
          <w:b w:val="0"/>
          <w:bCs w:val="0"/>
          <w:color w:val="auto"/>
          <w:sz w:val="32"/>
          <w:szCs w:val="32"/>
          <w:u w:val="none"/>
          <w:lang w:val="en-US" w:eastAsia="zh-CN"/>
        </w:rPr>
        <w:t>4</w:t>
      </w:r>
      <w:r>
        <w:rPr>
          <w:rFonts w:hint="eastAsia" w:ascii="方正仿宋_GBK" w:hAnsi="方正仿宋_GBK" w:eastAsia="方正仿宋_GBK" w:cs="方正仿宋_GBK"/>
          <w:b w:val="0"/>
          <w:bCs w:val="0"/>
          <w:color w:val="auto"/>
          <w:sz w:val="32"/>
          <w:szCs w:val="32"/>
          <w:u w:val="none"/>
        </w:rPr>
        <w:t>%以上</w:t>
      </w:r>
      <w:r>
        <w:rPr>
          <w:rFonts w:hint="eastAsia" w:ascii="方正仿宋_GBK" w:hAnsi="方正仿宋_GBK" w:eastAsia="方正仿宋_GBK" w:cs="方正仿宋_GBK"/>
          <w:b w:val="0"/>
          <w:bCs w:val="0"/>
          <w:color w:val="auto"/>
          <w:sz w:val="32"/>
          <w:szCs w:val="32"/>
        </w:rPr>
        <w:t>，绿色防控、统防统治覆盖率分别达到55%、45%。</w:t>
      </w:r>
      <w:r>
        <w:rPr>
          <w:rFonts w:hint="eastAsia" w:ascii="方正楷体_GBK" w:hAnsi="方正楷体_GBK" w:eastAsia="方正楷体_GBK" w:cs="方正楷体_GBK"/>
          <w:b w:val="0"/>
          <w:bCs w:val="0"/>
          <w:color w:val="auto"/>
          <w:kern w:val="2"/>
          <w:sz w:val="32"/>
          <w:szCs w:val="32"/>
          <w:lang w:val="en-US" w:eastAsia="zh-CN" w:bidi="ar-SA"/>
        </w:rPr>
        <w:t>（自治区农牧厅、生态环境厅、能源局、乡村振兴局牵头，自治区发展改革委、工业和信息化厅、住房城乡建设厅、水利厅、市场监管局等按职责分工负责）</w:t>
      </w:r>
    </w:p>
    <w:p>
      <w:pPr>
        <w:keepNext w:val="0"/>
        <w:keepLines w:val="0"/>
        <w:pageBreakBefore w:val="0"/>
        <w:widowControl w:val="0"/>
        <w:shd w:val="clear" w:color="auto" w:fill="auto"/>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1"/>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i w:val="0"/>
          <w:caps w:val="0"/>
          <w:color w:val="auto"/>
          <w:spacing w:val="0"/>
          <w:kern w:val="2"/>
          <w:sz w:val="32"/>
          <w:szCs w:val="32"/>
          <w:shd w:val="clear" w:color="auto" w:fill="FFFFFF"/>
          <w:lang w:val="en-US" w:eastAsia="zh-CN" w:bidi="ar-SA"/>
        </w:rPr>
        <w:t>（六）公共机构能效提升工程。</w:t>
      </w:r>
      <w:r>
        <w:rPr>
          <w:rFonts w:hint="eastAsia" w:ascii="方正仿宋_GBK" w:hAnsi="方正仿宋_GBK" w:eastAsia="方正仿宋_GBK" w:cs="方正仿宋_GBK"/>
          <w:b w:val="0"/>
          <w:bCs w:val="0"/>
          <w:color w:val="auto"/>
          <w:sz w:val="32"/>
          <w:szCs w:val="32"/>
          <w:lang w:val="en-US" w:eastAsia="zh-CN"/>
        </w:rPr>
        <w:t>加快</w:t>
      </w:r>
      <w:r>
        <w:rPr>
          <w:rFonts w:hint="eastAsia" w:ascii="方正仿宋_GBK" w:hAnsi="方正仿宋_GBK" w:eastAsia="方正仿宋_GBK" w:cs="方正仿宋_GBK"/>
          <w:b w:val="0"/>
          <w:bCs w:val="0"/>
          <w:color w:val="auto"/>
          <w:sz w:val="32"/>
          <w:szCs w:val="32"/>
        </w:rPr>
        <w:t>公共机构既有建筑围护结构、供热、制冷、照明等设施设备节能改造，推广使用节能新产品新技术。创新</w:t>
      </w:r>
      <w:r>
        <w:rPr>
          <w:rFonts w:hint="eastAsia" w:ascii="方正仿宋_GBK" w:hAnsi="方正仿宋_GBK" w:eastAsia="方正仿宋_GBK" w:cs="方正仿宋_GBK"/>
          <w:b w:val="0"/>
          <w:bCs w:val="0"/>
          <w:color w:val="auto"/>
          <w:sz w:val="32"/>
          <w:szCs w:val="32"/>
          <w:lang w:val="en-US" w:eastAsia="zh-CN"/>
        </w:rPr>
        <w:t>公共机构</w:t>
      </w:r>
      <w:r>
        <w:rPr>
          <w:rFonts w:hint="eastAsia" w:ascii="方正仿宋_GBK" w:hAnsi="方正仿宋_GBK" w:eastAsia="方正仿宋_GBK" w:cs="方正仿宋_GBK"/>
          <w:b w:val="0"/>
          <w:bCs w:val="0"/>
          <w:color w:val="auto"/>
          <w:sz w:val="32"/>
          <w:szCs w:val="32"/>
        </w:rPr>
        <w:t>节能管理模式，鼓励采用</w:t>
      </w:r>
      <w:r>
        <w:rPr>
          <w:rFonts w:hint="eastAsia" w:ascii="方正仿宋_GBK" w:hAnsi="方正仿宋_GBK" w:eastAsia="方正仿宋_GBK" w:cs="方正仿宋_GBK"/>
          <w:b w:val="0"/>
          <w:bCs w:val="0"/>
          <w:color w:val="auto"/>
          <w:sz w:val="32"/>
          <w:szCs w:val="32"/>
          <w:lang w:val="en-US" w:eastAsia="zh-CN"/>
        </w:rPr>
        <w:t>能源费用托管等</w:t>
      </w:r>
      <w:r>
        <w:rPr>
          <w:rFonts w:hint="eastAsia" w:ascii="方正仿宋_GBK" w:hAnsi="方正仿宋_GBK" w:eastAsia="方正仿宋_GBK" w:cs="方正仿宋_GBK"/>
          <w:b w:val="0"/>
          <w:bCs w:val="0"/>
          <w:color w:val="auto"/>
          <w:sz w:val="32"/>
          <w:szCs w:val="32"/>
        </w:rPr>
        <w:t>合同能源管理模式。提高公共机构办公、生活用能清洁化水平，推广使用太阳能、风能等清洁能源。积极开展绿色低碳技术应用示范案例宣传，促进绿色低碳技术应用。严格执行节能环保产品优先采购和强制采购制度，</w:t>
      </w:r>
      <w:r>
        <w:rPr>
          <w:rFonts w:hint="eastAsia" w:ascii="方正仿宋_GBK" w:hAnsi="方正仿宋_GBK" w:eastAsia="方正仿宋_GBK" w:cs="方正仿宋_GBK"/>
          <w:b w:val="0"/>
          <w:bCs w:val="0"/>
          <w:color w:val="auto"/>
          <w:sz w:val="32"/>
          <w:szCs w:val="32"/>
          <w:lang w:val="en-US" w:eastAsia="zh-CN"/>
        </w:rPr>
        <w:t>公共机构</w:t>
      </w:r>
      <w:r>
        <w:rPr>
          <w:rFonts w:hint="eastAsia" w:ascii="方正仿宋_GBK" w:hAnsi="方正仿宋_GBK" w:eastAsia="方正仿宋_GBK" w:cs="方正仿宋_GBK"/>
          <w:b w:val="0"/>
          <w:bCs w:val="0"/>
          <w:color w:val="auto"/>
          <w:sz w:val="32"/>
          <w:szCs w:val="32"/>
        </w:rPr>
        <w:t>带头采购节能、低碳、循环再生等绿色产品。率先淘汰老旧车，率先采购使用节能和新能源汽车，新建和既有停车场要配备电动汽车充电设施或预留充电设施安装条件。</w:t>
      </w:r>
      <w:r>
        <w:rPr>
          <w:rFonts w:hint="eastAsia" w:ascii="方正仿宋_GBK" w:hAnsi="方正仿宋_GBK" w:eastAsia="方正仿宋_GBK" w:cs="方正仿宋_GBK"/>
          <w:b w:val="0"/>
          <w:bCs w:val="0"/>
          <w:color w:val="auto"/>
          <w:sz w:val="32"/>
          <w:szCs w:val="32"/>
          <w:lang w:val="en-US" w:eastAsia="zh-CN"/>
        </w:rPr>
        <w:t>积极推广节能高效的办公设备，合理使用空调、电梯等耗能设备。持续开展示范</w:t>
      </w:r>
      <w:r>
        <w:rPr>
          <w:rFonts w:hint="eastAsia" w:ascii="方正仿宋_GBK" w:hAnsi="方正仿宋_GBK" w:eastAsia="方正仿宋_GBK" w:cs="方正仿宋_GBK"/>
          <w:b w:val="0"/>
          <w:bCs w:val="0"/>
          <w:color w:val="auto"/>
          <w:sz w:val="32"/>
          <w:szCs w:val="32"/>
        </w:rPr>
        <w:t>创建</w:t>
      </w:r>
      <w:r>
        <w:rPr>
          <w:rFonts w:hint="eastAsia" w:ascii="方正仿宋_GBK" w:hAnsi="方正仿宋_GBK" w:eastAsia="方正仿宋_GBK" w:cs="方正仿宋_GBK"/>
          <w:b w:val="0"/>
          <w:bCs w:val="0"/>
          <w:color w:val="auto"/>
          <w:sz w:val="32"/>
          <w:szCs w:val="32"/>
          <w:lang w:val="en-US" w:eastAsia="zh-CN"/>
        </w:rPr>
        <w:t>活动</w:t>
      </w:r>
      <w:r>
        <w:rPr>
          <w:rFonts w:hint="eastAsia" w:ascii="方正仿宋_GBK" w:hAnsi="方正仿宋_GBK" w:eastAsia="方正仿宋_GBK" w:cs="方正仿宋_GBK"/>
          <w:b w:val="0"/>
          <w:bCs w:val="0"/>
          <w:color w:val="auto"/>
          <w:sz w:val="32"/>
          <w:szCs w:val="32"/>
        </w:rPr>
        <w:t>，</w:t>
      </w:r>
      <w:r>
        <w:rPr>
          <w:rFonts w:hint="eastAsia" w:ascii="方正仿宋_GBK" w:hAnsi="方正仿宋_GBK" w:eastAsia="方正仿宋_GBK" w:cs="方正仿宋_GBK"/>
          <w:b w:val="0"/>
          <w:bCs w:val="0"/>
          <w:color w:val="auto"/>
          <w:sz w:val="32"/>
          <w:szCs w:val="32"/>
          <w:lang w:eastAsia="zh-CN"/>
        </w:rPr>
        <w:t>积极遴选节约型公共机构示范单位创建和能效“领跑者”。</w:t>
      </w:r>
      <w:r>
        <w:rPr>
          <w:rFonts w:hint="eastAsia" w:ascii="方正仿宋_GBK" w:hAnsi="方正仿宋_GBK" w:eastAsia="方正仿宋_GBK" w:cs="方正仿宋_GBK"/>
          <w:b w:val="0"/>
          <w:bCs w:val="0"/>
          <w:color w:val="auto"/>
          <w:sz w:val="32"/>
          <w:szCs w:val="32"/>
        </w:rPr>
        <w:t>到2025年</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力争80%以上党政机关创建为节约型机关</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充分发挥公共机构示范引领作用</w:t>
      </w:r>
      <w:r>
        <w:rPr>
          <w:rFonts w:hint="eastAsia" w:ascii="方正仿宋_GBK" w:hAnsi="方正仿宋_GBK" w:eastAsia="方正仿宋_GBK" w:cs="方正仿宋_GBK"/>
          <w:b w:val="0"/>
          <w:bCs w:val="0"/>
          <w:color w:val="auto"/>
          <w:sz w:val="32"/>
          <w:szCs w:val="32"/>
          <w:lang w:eastAsia="zh-CN"/>
        </w:rPr>
        <w:t>。</w:t>
      </w:r>
      <w:r>
        <w:rPr>
          <w:rFonts w:hint="eastAsia" w:ascii="方正楷体_GBK" w:hAnsi="方正楷体_GBK" w:eastAsia="方正楷体_GBK" w:cs="方正楷体_GBK"/>
          <w:b w:val="0"/>
          <w:bCs w:val="0"/>
          <w:color w:val="auto"/>
          <w:sz w:val="32"/>
          <w:szCs w:val="32"/>
          <w:u w:val="none"/>
          <w:lang w:val="en-US" w:eastAsia="zh-CN"/>
        </w:rPr>
        <w:t>（自治区机关事务管理局、住房城乡建设厅、教育厅、科技厅、卫生健康委、体育局等按职责分工负责）</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rPr>
          <w:rFonts w:hint="eastAsia" w:ascii="方正楷体_GBK" w:hAnsi="方正楷体_GBK" w:eastAsia="方正楷体_GBK" w:cs="方正楷体_GBK"/>
          <w:b w:val="0"/>
          <w:bCs w:val="0"/>
          <w:color w:val="auto"/>
          <w:kern w:val="2"/>
          <w:sz w:val="32"/>
          <w:szCs w:val="32"/>
          <w:lang w:val="en-US" w:eastAsia="zh-CN" w:bidi="ar-SA"/>
        </w:rPr>
      </w:pPr>
      <w:r>
        <w:rPr>
          <w:rFonts w:hint="eastAsia" w:ascii="方正楷体_GBK" w:hAnsi="方正楷体_GBK" w:eastAsia="方正楷体_GBK" w:cs="方正楷体_GBK"/>
          <w:b w:val="0"/>
          <w:bCs w:val="0"/>
          <w:i w:val="0"/>
          <w:caps w:val="0"/>
          <w:color w:val="auto"/>
          <w:spacing w:val="0"/>
          <w:kern w:val="2"/>
          <w:sz w:val="32"/>
          <w:szCs w:val="32"/>
          <w:shd w:val="clear" w:color="auto" w:fill="FFFFFF"/>
          <w:lang w:val="en-US" w:eastAsia="zh-CN" w:bidi="ar-SA"/>
        </w:rPr>
        <w:t>（七）重点区域污染物减排工程。</w:t>
      </w:r>
      <w:r>
        <w:rPr>
          <w:rFonts w:hint="eastAsia" w:ascii="方正仿宋_GBK" w:hAnsi="方正仿宋_GBK" w:eastAsia="方正仿宋_GBK" w:cs="方正仿宋_GBK"/>
          <w:b w:val="0"/>
          <w:bCs w:val="0"/>
          <w:i w:val="0"/>
          <w:caps w:val="0"/>
          <w:color w:val="auto"/>
          <w:spacing w:val="0"/>
          <w:kern w:val="2"/>
          <w:sz w:val="32"/>
          <w:szCs w:val="32"/>
          <w:u w:val="none"/>
          <w:lang w:val="en-US" w:eastAsia="zh-CN" w:bidi="ar-SA"/>
        </w:rPr>
        <w:t>持续推进大气污染防治重点区域秋冬季攻坚行动，加大重点行业结构调整和污染治理力度。以自治区中西部地区为重点，着力推进挥发性有机物和氮氧化物协同减排，加强细颗粒物和臭氧协同控制。推进黄河流域生态保护和高质量发展，扎实推进城镇污水垃圾处理和工业、农业面源、尾矿库等污染治理工程，着力打好黄河生态保护治理攻坚战；实施深度节水控水行动，加强重要支流污染治理，开展入河排污口排查整治，到2025年，黄河干流水质达到Ⅱ类。</w:t>
      </w:r>
      <w:r>
        <w:rPr>
          <w:rFonts w:hint="eastAsia" w:ascii="方正楷体_GBK" w:hAnsi="方正楷体_GBK" w:eastAsia="方正楷体_GBK" w:cs="方正楷体_GBK"/>
          <w:b w:val="0"/>
          <w:bCs w:val="0"/>
          <w:color w:val="auto"/>
          <w:kern w:val="2"/>
          <w:sz w:val="32"/>
          <w:szCs w:val="32"/>
          <w:lang w:val="en-US" w:eastAsia="zh-CN" w:bidi="ar-SA"/>
        </w:rPr>
        <w:t>（自治区生态环境厅、工业和信息化厅、水利厅牵头，自治区发展改革委、住房城乡建设厅、交通运输厅、能源局等按职责分工负责）</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rPr>
          <w:rFonts w:hint="eastAsia" w:ascii="方正楷体_GBK" w:hAnsi="方正楷体_GBK" w:eastAsia="方正楷体_GBK" w:cs="方正楷体_GBK"/>
          <w:b w:val="0"/>
          <w:bCs w:val="0"/>
          <w:color w:val="auto"/>
          <w:kern w:val="2"/>
          <w:sz w:val="32"/>
          <w:szCs w:val="32"/>
          <w:lang w:val="en-US" w:eastAsia="zh-CN" w:bidi="ar-SA"/>
        </w:rPr>
      </w:pPr>
      <w:r>
        <w:rPr>
          <w:rFonts w:hint="eastAsia" w:ascii="方正楷体_GBK" w:hAnsi="方正楷体_GBK" w:eastAsia="方正楷体_GBK" w:cs="方正楷体_GBK"/>
          <w:b w:val="0"/>
          <w:bCs w:val="0"/>
          <w:i w:val="0"/>
          <w:caps w:val="0"/>
          <w:color w:val="auto"/>
          <w:spacing w:val="0"/>
          <w:kern w:val="2"/>
          <w:sz w:val="32"/>
          <w:szCs w:val="32"/>
          <w:shd w:val="clear" w:color="auto" w:fill="FFFFFF"/>
          <w:lang w:val="en-US" w:eastAsia="zh-CN" w:bidi="ar-SA"/>
        </w:rPr>
        <w:t>（八）煤炭清洁高效利用工程。</w:t>
      </w:r>
      <w:r>
        <w:rPr>
          <w:rFonts w:hint="eastAsia" w:ascii="方正仿宋_GBK" w:hAnsi="方正仿宋_GBK" w:eastAsia="方正仿宋_GBK" w:cs="方正仿宋_GBK"/>
          <w:b w:val="0"/>
          <w:bCs w:val="0"/>
          <w:i w:val="0"/>
          <w:caps w:val="0"/>
          <w:color w:val="auto"/>
          <w:spacing w:val="0"/>
          <w:kern w:val="0"/>
          <w:sz w:val="32"/>
          <w:szCs w:val="32"/>
          <w:shd w:val="clear" w:color="auto" w:fill="FFFFFF"/>
          <w:lang w:val="en-US" w:eastAsia="zh-CN" w:bidi="ar"/>
        </w:rPr>
        <w:t>立足内蒙古作为国家重要能源和战略资源基地的定位，在保障国家能源安全、电力供应安全的前提下，坚持先立后破，严格合理控制煤炭消费增长，抓好煤炭清洁高效利用，稳妥有序推进存量煤电机组节煤降耗改造、供热改造、灵活性改造“三改联动”，</w:t>
      </w:r>
      <w:r>
        <w:rPr>
          <w:rFonts w:hint="eastAsia" w:ascii="方正仿宋_GBK" w:hAnsi="方正仿宋_GBK" w:eastAsia="方正仿宋_GBK" w:cs="方正仿宋_GBK"/>
          <w:b w:val="0"/>
          <w:bCs w:val="0"/>
          <w:color w:val="auto"/>
          <w:kern w:val="0"/>
          <w:sz w:val="32"/>
          <w:szCs w:val="32"/>
          <w:shd w:val="clear" w:color="auto" w:fill="FFFFFF"/>
          <w:lang w:val="en-US" w:eastAsia="zh-CN" w:bidi="ar"/>
        </w:rPr>
        <w:t>持续推动煤电机组超低排放改造。</w:t>
      </w:r>
      <w:r>
        <w:rPr>
          <w:rFonts w:hint="eastAsia" w:ascii="方正仿宋_GBK" w:hAnsi="方正仿宋_GBK" w:eastAsia="方正仿宋_GBK" w:cs="方正仿宋_GBK"/>
          <w:b w:val="0"/>
          <w:bCs w:val="0"/>
          <w:color w:val="auto"/>
          <w:kern w:val="0"/>
          <w:sz w:val="32"/>
          <w:szCs w:val="32"/>
          <w:u w:val="none"/>
          <w:shd w:val="clear" w:color="auto" w:fill="FFFFFF"/>
          <w:lang w:val="en-US" w:eastAsia="zh-CN" w:bidi="ar"/>
        </w:rPr>
        <w:t>加大燃煤小锅炉和落后燃煤小热电（含自备电厂）淘汰力度，完成30万千瓦及以上热电联产电厂供热半径15公里范围内的燃煤锅炉关停整合任务。</w:t>
      </w:r>
      <w:r>
        <w:rPr>
          <w:rFonts w:hint="eastAsia" w:ascii="方正仿宋_GBK" w:hAnsi="方正仿宋_GBK" w:eastAsia="方正仿宋_GBK" w:cs="方正仿宋_GBK"/>
          <w:b w:val="0"/>
          <w:bCs w:val="0"/>
          <w:i w:val="0"/>
          <w:caps w:val="0"/>
          <w:color w:val="auto"/>
          <w:spacing w:val="0"/>
          <w:kern w:val="0"/>
          <w:sz w:val="32"/>
          <w:szCs w:val="32"/>
          <w:shd w:val="clear" w:color="auto" w:fill="FFFFFF"/>
          <w:lang w:val="en-US" w:eastAsia="zh-CN" w:bidi="ar"/>
        </w:rPr>
        <w:t>加强钢铁、铸造、建材等重点耗煤行业管理，推进电能替代。持续扩大</w:t>
      </w:r>
      <w:r>
        <w:rPr>
          <w:rFonts w:hint="eastAsia" w:ascii="方正仿宋_GBK" w:hAnsi="方正仿宋_GBK" w:eastAsia="方正仿宋_GBK" w:cs="方正仿宋_GBK"/>
          <w:b w:val="0"/>
          <w:bCs w:val="0"/>
          <w:color w:val="auto"/>
          <w:kern w:val="0"/>
          <w:sz w:val="32"/>
          <w:szCs w:val="32"/>
          <w:u w:val="none"/>
          <w:shd w:val="clear" w:color="auto" w:fill="FFFFFF"/>
          <w:lang w:val="en-US" w:eastAsia="zh-CN" w:bidi="ar"/>
        </w:rPr>
        <w:t>热电联产集中供热面积，推广工业余热集中供热，科学有序推进“散煤双替代”，在城乡结合部和热力管网无法到达的老旧城区，推广应用电锅炉、热泵、分散式电采暖，减少取暖用煤需求。到2025年，完成煤电机组节能改造2000万千瓦、灵活性改造3000万千瓦；推进包头市、呼和浩特市、乌兰察布市、巴彦淖尔市等清洁供暖示范城市建设，推进“气化内蒙古”行动，内蒙古西部地区基本实现管道天然气“县县通气”、东部地区实现管道天然气“市市通气”；全区</w:t>
      </w:r>
      <w:r>
        <w:rPr>
          <w:rFonts w:hint="eastAsia" w:ascii="方正仿宋_GBK" w:hAnsi="方正仿宋_GBK" w:eastAsia="方正仿宋_GBK" w:cs="方正仿宋_GBK"/>
          <w:b w:val="0"/>
          <w:bCs w:val="0"/>
          <w:i w:val="0"/>
          <w:caps w:val="0"/>
          <w:color w:val="auto"/>
          <w:spacing w:val="0"/>
          <w:kern w:val="0"/>
          <w:sz w:val="32"/>
          <w:szCs w:val="32"/>
          <w:shd w:val="clear" w:color="auto" w:fill="FFFFFF"/>
          <w:lang w:val="en-US" w:eastAsia="zh-CN" w:bidi="ar"/>
        </w:rPr>
        <w:t>煤炭消费比重降至75%以下，非化石能源占能源消费比重达到18%左右。</w:t>
      </w:r>
      <w:r>
        <w:rPr>
          <w:rFonts w:hint="eastAsia" w:ascii="方正楷体_GBK" w:hAnsi="方正楷体_GBK" w:eastAsia="方正楷体_GBK" w:cs="方正楷体_GBK"/>
          <w:b w:val="0"/>
          <w:bCs w:val="0"/>
          <w:color w:val="auto"/>
          <w:kern w:val="2"/>
          <w:sz w:val="32"/>
          <w:szCs w:val="32"/>
          <w:lang w:val="en-US" w:eastAsia="zh-CN" w:bidi="ar-SA"/>
        </w:rPr>
        <w:t>（自治区能源局、生态环境厅、工业和信息化厅、住房城乡建设厅、市场监管局等按职责分工负责）</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rPr>
          <w:rFonts w:hint="eastAsia" w:ascii="方正楷体_GBK" w:hAnsi="方正楷体_GBK" w:eastAsia="方正楷体_GBK" w:cs="方正楷体_GBK"/>
          <w:b w:val="0"/>
          <w:bCs w:val="0"/>
          <w:color w:val="auto"/>
          <w:kern w:val="2"/>
          <w:sz w:val="32"/>
          <w:szCs w:val="32"/>
          <w:lang w:val="en-US" w:eastAsia="zh-CN" w:bidi="ar-SA"/>
        </w:rPr>
      </w:pPr>
      <w:r>
        <w:rPr>
          <w:rFonts w:hint="eastAsia" w:ascii="方正楷体_GBK" w:hAnsi="方正楷体_GBK" w:eastAsia="方正楷体_GBK" w:cs="方正楷体_GBK"/>
          <w:b w:val="0"/>
          <w:bCs w:val="0"/>
          <w:i w:val="0"/>
          <w:caps w:val="0"/>
          <w:color w:val="auto"/>
          <w:spacing w:val="0"/>
          <w:kern w:val="2"/>
          <w:sz w:val="32"/>
          <w:szCs w:val="32"/>
          <w:shd w:val="clear" w:color="auto" w:fill="FFFFFF"/>
          <w:lang w:val="en-US" w:eastAsia="zh-CN" w:bidi="ar-SA"/>
        </w:rPr>
        <w:t>（九）挥发性有机物综合整治工程。</w:t>
      </w:r>
      <w:r>
        <w:rPr>
          <w:rFonts w:hint="eastAsia" w:ascii="方正仿宋_GBK" w:hAnsi="方正仿宋_GBK" w:eastAsia="方正仿宋_GBK" w:cs="方正仿宋_GBK"/>
          <w:b w:val="0"/>
          <w:bCs w:val="0"/>
          <w:color w:val="auto"/>
          <w:spacing w:val="0"/>
          <w:sz w:val="32"/>
          <w:szCs w:val="32"/>
          <w:lang w:val="en-US" w:eastAsia="zh-CN"/>
        </w:rPr>
        <w:t>推进低VOCs原辅材料和</w:t>
      </w:r>
      <w:r>
        <w:rPr>
          <w:rFonts w:hint="eastAsia" w:ascii="方正仿宋_GBK" w:hAnsi="方正仿宋_GBK" w:eastAsia="方正仿宋_GBK" w:cs="方正仿宋_GBK"/>
          <w:b w:val="0"/>
          <w:bCs w:val="0"/>
          <w:i w:val="0"/>
          <w:caps w:val="0"/>
          <w:color w:val="auto"/>
          <w:spacing w:val="6"/>
          <w:kern w:val="0"/>
          <w:sz w:val="32"/>
          <w:szCs w:val="32"/>
          <w:shd w:val="clear" w:color="auto" w:fill="FFFFFF"/>
          <w:lang w:val="en-US" w:eastAsia="zh-CN" w:bidi="ar"/>
        </w:rPr>
        <w:t>产</w:t>
      </w:r>
      <w:r>
        <w:rPr>
          <w:rFonts w:hint="eastAsia" w:ascii="方正仿宋_GBK" w:hAnsi="方正仿宋_GBK" w:eastAsia="方正仿宋_GBK" w:cs="方正仿宋_GBK"/>
          <w:b w:val="0"/>
          <w:bCs w:val="0"/>
          <w:i w:val="0"/>
          <w:caps w:val="0"/>
          <w:color w:val="auto"/>
          <w:spacing w:val="0"/>
          <w:kern w:val="0"/>
          <w:sz w:val="32"/>
          <w:szCs w:val="32"/>
          <w:shd w:val="clear" w:color="auto" w:fill="FFFFFF"/>
          <w:lang w:val="en-US" w:eastAsia="zh-CN" w:bidi="ar"/>
        </w:rPr>
        <w:t>品源头替代工程，实施全过程污染物治理。以工业涂装、包装印刷等行业为重点，推动使用低挥发性有机物含量的涂料、油墨、胶粘剂、清洗剂。深化石化、化工等行业挥发性有机物污染治理，全面提升废气收集率、治理设施同步运行率和去除率。对易挥发有机液体储罐实施改造，对浮顶罐推广采用全接液浮盘和高效双重密封技术，对废水系统高浓度废气实施单独收集处理。到2025年，溶剂型工业涂料、油墨使用比例分别降低20个百分点、10个百分点，溶剂型胶粘剂使用量降低20%。</w:t>
      </w:r>
      <w:r>
        <w:rPr>
          <w:rFonts w:hint="eastAsia" w:ascii="方正楷体_GBK" w:hAnsi="方正楷体_GBK" w:eastAsia="方正楷体_GBK" w:cs="方正楷体_GBK"/>
          <w:b w:val="0"/>
          <w:bCs w:val="0"/>
          <w:color w:val="auto"/>
          <w:kern w:val="2"/>
          <w:sz w:val="32"/>
          <w:szCs w:val="32"/>
          <w:lang w:val="en-US" w:eastAsia="zh-CN" w:bidi="ar-SA"/>
        </w:rPr>
        <w:t>（自治区工业和信息化厅、生态环境厅等按职责分工负责）</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rPr>
          <w:rFonts w:hint="eastAsia" w:ascii="方正楷体_GBK" w:hAnsi="方正楷体_GBK" w:eastAsia="方正楷体_GBK" w:cs="方正楷体_GBK"/>
          <w:b w:val="0"/>
          <w:bCs w:val="0"/>
          <w:color w:val="auto"/>
          <w:kern w:val="2"/>
          <w:sz w:val="32"/>
          <w:szCs w:val="32"/>
          <w:lang w:val="en-US" w:eastAsia="zh-CN" w:bidi="ar-SA"/>
        </w:rPr>
      </w:pPr>
      <w:r>
        <w:rPr>
          <w:rFonts w:hint="eastAsia" w:ascii="方正楷体_GBK" w:hAnsi="方正楷体_GBK" w:eastAsia="方正楷体_GBK" w:cs="方正楷体_GBK"/>
          <w:b w:val="0"/>
          <w:bCs w:val="0"/>
          <w:i w:val="0"/>
          <w:caps w:val="0"/>
          <w:color w:val="auto"/>
          <w:spacing w:val="0"/>
          <w:kern w:val="2"/>
          <w:sz w:val="32"/>
          <w:szCs w:val="32"/>
          <w:shd w:val="clear" w:color="auto" w:fill="FFFFFF"/>
          <w:lang w:val="en-US" w:eastAsia="zh-CN" w:bidi="ar-SA"/>
        </w:rPr>
        <w:t>（十）环境基础设施水平提升工程。</w:t>
      </w:r>
      <w:r>
        <w:rPr>
          <w:rFonts w:hint="eastAsia" w:ascii="方正仿宋_GBK" w:hAnsi="方正仿宋_GBK" w:eastAsia="方正仿宋_GBK" w:cs="方正仿宋_GBK"/>
          <w:b w:val="0"/>
          <w:bCs w:val="0"/>
          <w:i w:val="0"/>
          <w:caps w:val="0"/>
          <w:color w:val="auto"/>
          <w:spacing w:val="0"/>
          <w:kern w:val="0"/>
          <w:sz w:val="32"/>
          <w:szCs w:val="32"/>
          <w:shd w:val="clear" w:color="auto" w:fill="FFFFFF"/>
          <w:lang w:val="en-US" w:eastAsia="zh-CN" w:bidi="ar"/>
        </w:rPr>
        <w:t>加快推进城镇排水管网建设，推动老旧管网更新改造，大力推进黄河干流沿线城市建成区管网混错接改造，因地制宜推进雨污分流改造。加快构建集污水、垃圾、固体废物、危险废物、医疗废物处理处置设施和监测监管能力于一体的环境基础设施体系，提高可回收物再生利用和资源化水平。持续推进工业园区工业固体废物处置及综合利用设施建设，加强可回收物回收、分拣、处置设施建设。推进厨余垃圾处理设施建设。建设完善生活垃圾分类制度体系和分类投放、收集、运输、处理系统，补齐分类收集转运设施短板。</w:t>
      </w:r>
      <w:r>
        <w:rPr>
          <w:rFonts w:hint="eastAsia" w:ascii="方正仿宋_GBK" w:hAnsi="方正仿宋_GBK" w:eastAsia="方正仿宋_GBK" w:cs="方正仿宋_GBK"/>
          <w:b w:val="0"/>
          <w:bCs w:val="0"/>
          <w:i w:val="0"/>
          <w:caps w:val="0"/>
          <w:color w:val="auto"/>
          <w:spacing w:val="0"/>
          <w:kern w:val="0"/>
          <w:sz w:val="32"/>
          <w:szCs w:val="32"/>
          <w:u w:val="none"/>
          <w:shd w:val="clear" w:color="auto" w:fill="FFFFFF"/>
          <w:lang w:val="en-US" w:eastAsia="zh-CN" w:bidi="ar"/>
        </w:rPr>
        <w:t>到2025年，城市污泥无害化处置率达到90%以上，城市生活垃圾焚烧处理能力占比达到65%左右</w:t>
      </w:r>
      <w:r>
        <w:rPr>
          <w:rFonts w:hint="eastAsia" w:ascii="方正仿宋_GBK" w:hAnsi="方正仿宋_GBK" w:eastAsia="方正仿宋_GBK" w:cs="方正仿宋_GBK"/>
          <w:b w:val="0"/>
          <w:bCs w:val="0"/>
          <w:i w:val="0"/>
          <w:caps w:val="0"/>
          <w:color w:val="auto"/>
          <w:spacing w:val="0"/>
          <w:kern w:val="0"/>
          <w:sz w:val="32"/>
          <w:szCs w:val="32"/>
          <w:shd w:val="clear" w:color="auto" w:fill="FFFFFF"/>
          <w:lang w:val="en-US" w:eastAsia="zh-CN" w:bidi="ar"/>
        </w:rPr>
        <w:t>。</w:t>
      </w:r>
      <w:r>
        <w:rPr>
          <w:rFonts w:hint="eastAsia" w:ascii="方正楷体_GBK" w:hAnsi="方正楷体_GBK" w:eastAsia="方正楷体_GBK" w:cs="方正楷体_GBK"/>
          <w:b w:val="0"/>
          <w:bCs w:val="0"/>
          <w:color w:val="auto"/>
          <w:kern w:val="2"/>
          <w:sz w:val="32"/>
          <w:szCs w:val="32"/>
          <w:lang w:val="en-US" w:eastAsia="zh-CN" w:bidi="ar-SA"/>
        </w:rPr>
        <w:t>（自治区发展改革委、住房城乡建设厅、生态环境厅等按职责分工负责）</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rPr>
          <w:rFonts w:hint="eastAsia" w:ascii="方正黑体_GBK" w:hAnsi="方正黑体_GBK" w:eastAsia="方正黑体_GBK" w:cs="方正黑体_GBK"/>
          <w:b w:val="0"/>
          <w:bCs w:val="0"/>
          <w:color w:val="auto"/>
          <w:kern w:val="2"/>
          <w:sz w:val="32"/>
          <w:szCs w:val="32"/>
          <w:lang w:val="en-US" w:eastAsia="zh-CN" w:bidi="ar-SA"/>
        </w:rPr>
      </w:pPr>
      <w:r>
        <w:rPr>
          <w:rFonts w:hint="eastAsia" w:ascii="方正黑体_GBK" w:hAnsi="方正黑体_GBK" w:eastAsia="方正黑体_GBK" w:cs="方正黑体_GBK"/>
          <w:b w:val="0"/>
          <w:bCs w:val="0"/>
          <w:color w:val="auto"/>
          <w:kern w:val="2"/>
          <w:sz w:val="32"/>
          <w:szCs w:val="32"/>
          <w:lang w:val="en-US" w:eastAsia="zh-CN" w:bidi="ar-SA"/>
        </w:rPr>
        <w:t>四、健全节能减排政策机制</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rPr>
          <w:rFonts w:hint="eastAsia" w:ascii="方正楷体_GBK" w:hAnsi="方正楷体_GBK" w:eastAsia="方正楷体_GBK" w:cs="方正楷体_GBK"/>
          <w:b w:val="0"/>
          <w:bCs w:val="0"/>
          <w:i w:val="0"/>
          <w:caps w:val="0"/>
          <w:color w:val="auto"/>
          <w:spacing w:val="0"/>
          <w:kern w:val="0"/>
          <w:sz w:val="32"/>
          <w:szCs w:val="32"/>
          <w:shd w:val="clear" w:color="auto" w:fill="FFFFFF"/>
          <w:lang w:val="en-US" w:eastAsia="zh-CN" w:bidi="ar"/>
        </w:rPr>
      </w:pPr>
      <w:r>
        <w:rPr>
          <w:rFonts w:hint="eastAsia" w:ascii="方正楷体_GBK" w:hAnsi="方正楷体_GBK" w:eastAsia="方正楷体_GBK" w:cs="方正楷体_GBK"/>
          <w:b w:val="0"/>
          <w:bCs w:val="0"/>
          <w:i w:val="0"/>
          <w:caps w:val="0"/>
          <w:color w:val="auto"/>
          <w:spacing w:val="0"/>
          <w:kern w:val="2"/>
          <w:sz w:val="32"/>
          <w:szCs w:val="32"/>
          <w:shd w:val="clear" w:color="auto" w:fill="FFFFFF"/>
          <w:lang w:val="en-US" w:eastAsia="zh-CN" w:bidi="ar-SA"/>
        </w:rPr>
        <w:t>（一）优化完善能耗双控制度。</w:t>
      </w:r>
      <w:r>
        <w:rPr>
          <w:rFonts w:hint="eastAsia" w:ascii="方正仿宋_GBK" w:hAnsi="方正仿宋_GBK" w:eastAsia="方正仿宋_GBK" w:cs="方正仿宋_GBK"/>
          <w:b w:val="0"/>
          <w:bCs w:val="0"/>
          <w:i w:val="0"/>
          <w:caps w:val="0"/>
          <w:color w:val="auto"/>
          <w:spacing w:val="0"/>
          <w:kern w:val="0"/>
          <w:sz w:val="32"/>
          <w:szCs w:val="32"/>
          <w:shd w:val="clear" w:color="auto" w:fill="FFFFFF"/>
          <w:lang w:val="en-US" w:eastAsia="zh-CN" w:bidi="ar"/>
        </w:rPr>
        <w:t>坚持节能优先，强化能耗强度约束性指标管理，以能源产出率为重要依据，综合考虑</w:t>
      </w:r>
      <w:r>
        <w:rPr>
          <w:rFonts w:hint="eastAsia" w:ascii="方正仿宋_GBK" w:hAnsi="方正仿宋_GBK" w:eastAsia="方正仿宋_GBK" w:cs="方正仿宋_GBK"/>
          <w:b w:val="0"/>
          <w:bCs w:val="0"/>
          <w:i w:val="0"/>
          <w:caps w:val="0"/>
          <w:color w:val="auto"/>
          <w:spacing w:val="0"/>
          <w:kern w:val="0"/>
          <w:sz w:val="32"/>
          <w:szCs w:val="32"/>
          <w:u w:val="none"/>
          <w:shd w:val="clear" w:color="auto" w:fill="FFFFFF"/>
          <w:lang w:val="en-US" w:eastAsia="zh-CN" w:bidi="ar"/>
        </w:rPr>
        <w:t>发展</w:t>
      </w:r>
      <w:r>
        <w:rPr>
          <w:rFonts w:hint="eastAsia" w:ascii="方正仿宋_GBK" w:hAnsi="方正仿宋_GBK" w:eastAsia="方正仿宋_GBK" w:cs="方正仿宋_GBK"/>
          <w:b w:val="0"/>
          <w:bCs w:val="0"/>
          <w:i w:val="0"/>
          <w:caps w:val="0"/>
          <w:strike w:val="0"/>
          <w:dstrike w:val="0"/>
          <w:color w:val="auto"/>
          <w:spacing w:val="0"/>
          <w:kern w:val="0"/>
          <w:sz w:val="32"/>
          <w:szCs w:val="32"/>
          <w:u w:val="none"/>
          <w:shd w:val="clear" w:color="auto" w:fill="FFFFFF"/>
          <w:lang w:val="en-US" w:eastAsia="zh-CN" w:bidi="ar"/>
        </w:rPr>
        <w:t>阶段</w:t>
      </w:r>
      <w:r>
        <w:rPr>
          <w:rFonts w:hint="eastAsia" w:ascii="方正仿宋_GBK" w:hAnsi="方正仿宋_GBK" w:eastAsia="方正仿宋_GBK" w:cs="方正仿宋_GBK"/>
          <w:b w:val="0"/>
          <w:bCs w:val="0"/>
          <w:i w:val="0"/>
          <w:caps w:val="0"/>
          <w:color w:val="auto"/>
          <w:spacing w:val="0"/>
          <w:kern w:val="0"/>
          <w:sz w:val="32"/>
          <w:szCs w:val="32"/>
          <w:u w:val="none"/>
          <w:shd w:val="clear" w:color="auto" w:fill="FFFFFF"/>
          <w:lang w:val="en-US" w:eastAsia="zh-CN" w:bidi="ar"/>
        </w:rPr>
        <w:t>等因素，合理确定各盟市能耗强度降低目标。有效增强能源消费总量管理弹性，各盟市根据自治区下达的能耗强度降低年度目标和本地区生产总值增速年度目标，合理确定本地区能耗总量年度目标；能耗总量目标为预期性指标，经济增速超过预期目标的盟市可相应调整能耗总量目标。</w:t>
      </w:r>
      <w:r>
        <w:rPr>
          <w:rFonts w:hint="eastAsia" w:ascii="方正仿宋_GBK" w:hAnsi="方正仿宋_GBK" w:eastAsia="方正仿宋_GBK" w:cs="方正仿宋_GBK"/>
          <w:b w:val="0"/>
          <w:bCs w:val="0"/>
          <w:color w:val="auto"/>
          <w:kern w:val="0"/>
          <w:sz w:val="32"/>
          <w:szCs w:val="32"/>
          <w:u w:val="none"/>
          <w:lang w:val="en-US" w:eastAsia="zh-CN" w:bidi="ar"/>
        </w:rPr>
        <w:t>对完成能耗强度降低激励目标的盟市，能源消费总量免予考核。各地区“十四五”时期新增可再生能源电力消费量不纳入能耗总量考核，原料用能不纳入能耗强度和总量双控考核。落实国家和自治区重大项目能耗单列政策，对列入能耗单列范围的重大项目，其由国家和自治区承担的部分能耗在能耗双控考核中予以核减。完善用能预算管理制度，实现能耗总量控制向能耗强度平衡转变，强化新上项目能耗强度标杆引导，合理保障低能耗强度优质项目用能需求，有效化解高能耗强度项目对地区能耗强度的影响。优化能耗双控考核频次，实行“年度评价、中期评估、五年考核”，能耗强度目标在“十四五”规划期内统筹考核。加强能耗双控政策与碳达峰、碳中和目标任务的衔接。</w:t>
      </w:r>
      <w:r>
        <w:rPr>
          <w:rFonts w:hint="eastAsia" w:ascii="方正楷体_GBK" w:hAnsi="方正楷体_GBK" w:eastAsia="方正楷体_GBK" w:cs="方正楷体_GBK"/>
          <w:b w:val="0"/>
          <w:bCs w:val="0"/>
          <w:color w:val="auto"/>
          <w:kern w:val="2"/>
          <w:sz w:val="32"/>
          <w:szCs w:val="32"/>
          <w:lang w:val="en-US" w:eastAsia="zh-CN" w:bidi="ar-SA"/>
        </w:rPr>
        <w:t>（自治区发展改革委牵头，自治区工业和信息化厅、统计局、能源局等按职责分工负责）</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rPr>
          <w:rFonts w:hint="eastAsia" w:ascii="方正楷体_GBK" w:hAnsi="方正楷体_GBK" w:eastAsia="方正楷体_GBK" w:cs="方正楷体_GBK"/>
          <w:b w:val="0"/>
          <w:bCs w:val="0"/>
          <w:i w:val="0"/>
          <w:caps w:val="0"/>
          <w:color w:val="auto"/>
          <w:spacing w:val="0"/>
          <w:kern w:val="0"/>
          <w:sz w:val="32"/>
          <w:szCs w:val="32"/>
          <w:shd w:val="clear" w:color="auto" w:fill="FFFFFF"/>
          <w:lang w:val="en-US" w:eastAsia="zh-CN" w:bidi="ar"/>
        </w:rPr>
      </w:pPr>
      <w:r>
        <w:rPr>
          <w:rFonts w:hint="eastAsia" w:ascii="方正楷体_GBK" w:hAnsi="方正楷体_GBK" w:eastAsia="方正楷体_GBK" w:cs="方正楷体_GBK"/>
          <w:b w:val="0"/>
          <w:bCs w:val="0"/>
          <w:i w:val="0"/>
          <w:caps w:val="0"/>
          <w:color w:val="auto"/>
          <w:spacing w:val="0"/>
          <w:kern w:val="2"/>
          <w:sz w:val="32"/>
          <w:szCs w:val="32"/>
          <w:shd w:val="clear" w:color="auto" w:fill="FFFFFF"/>
          <w:lang w:val="en-US" w:eastAsia="zh-CN" w:bidi="ar-SA"/>
        </w:rPr>
        <w:t>（二）健全污染物排放总量控制制度。</w:t>
      </w:r>
      <w:r>
        <w:rPr>
          <w:rFonts w:hint="eastAsia" w:ascii="方正仿宋_GBK" w:hAnsi="方正仿宋_GBK" w:eastAsia="方正仿宋_GBK" w:cs="方正仿宋_GBK"/>
          <w:b w:val="0"/>
          <w:bCs w:val="0"/>
          <w:i w:val="0"/>
          <w:caps w:val="0"/>
          <w:color w:val="auto"/>
          <w:spacing w:val="0"/>
          <w:kern w:val="0"/>
          <w:sz w:val="32"/>
          <w:szCs w:val="32"/>
          <w:shd w:val="clear" w:color="auto" w:fill="FFFFFF"/>
          <w:lang w:val="en-US" w:eastAsia="zh-CN" w:bidi="ar"/>
        </w:rPr>
        <w:t>坚持精准治污、科学治污、依法治污，把污染物排放总量控制制度作为加快绿色低碳发展、推动结构优化调整、提升环境治理水平的重要抓手，推进实施重点减排工程，形成有效减排能力。优化总量减排指标分解方式，按照可监测、可核查、可考核的原则，编制“十四五”主要污染物总量减排行动方案，将重点工程减排量下达地方，污染治理任务较重的地方承担相对较多的减排任务。指导各地区按年度落实减排工程，强化总量减排核查核算。在国家统一安排部署下推进与排污许可、环境影响评价审批等制度衔接。</w:t>
      </w:r>
      <w:r>
        <w:rPr>
          <w:rFonts w:hint="eastAsia" w:ascii="方正楷体_GBK" w:hAnsi="方正楷体_GBK" w:eastAsia="方正楷体_GBK" w:cs="方正楷体_GBK"/>
          <w:b w:val="0"/>
          <w:bCs w:val="0"/>
          <w:color w:val="auto"/>
          <w:kern w:val="2"/>
          <w:sz w:val="32"/>
          <w:szCs w:val="32"/>
          <w:lang w:val="en-US" w:eastAsia="zh-CN" w:bidi="ar-SA"/>
        </w:rPr>
        <w:t>（自治区生态环境厅负责）</w:t>
      </w:r>
    </w:p>
    <w:p>
      <w:pPr>
        <w:keepNext w:val="0"/>
        <w:keepLines w:val="0"/>
        <w:pageBreakBefore w:val="0"/>
        <w:widowControl w:val="0"/>
        <w:shd w:val="clear" w:color="auto" w:fill="auto"/>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rPr>
          <w:rFonts w:hint="eastAsia" w:ascii="方正楷体_GBK" w:hAnsi="方正楷体_GBK" w:eastAsia="方正楷体_GBK" w:cs="方正楷体_GBK"/>
          <w:b w:val="0"/>
          <w:bCs w:val="0"/>
          <w:color w:val="auto"/>
          <w:kern w:val="2"/>
          <w:sz w:val="32"/>
          <w:szCs w:val="32"/>
          <w:lang w:val="en-US" w:eastAsia="zh-CN" w:bidi="ar-SA"/>
        </w:rPr>
      </w:pPr>
      <w:r>
        <w:rPr>
          <w:rFonts w:hint="eastAsia" w:ascii="方正楷体_GBK" w:hAnsi="方正楷体_GBK" w:eastAsia="方正楷体_GBK" w:cs="方正楷体_GBK"/>
          <w:b w:val="0"/>
          <w:bCs w:val="0"/>
          <w:i w:val="0"/>
          <w:caps w:val="0"/>
          <w:color w:val="auto"/>
          <w:spacing w:val="0"/>
          <w:kern w:val="2"/>
          <w:sz w:val="32"/>
          <w:szCs w:val="32"/>
          <w:shd w:val="clear" w:color="auto" w:fill="FFFFFF"/>
          <w:lang w:val="en-US" w:eastAsia="zh-CN" w:bidi="ar-SA"/>
        </w:rPr>
        <w:t>（三）坚决遏制高耗能高排放</w:t>
      </w:r>
      <w:r>
        <w:rPr>
          <w:rFonts w:hint="eastAsia" w:ascii="方正楷体_GBK" w:hAnsi="方正楷体_GBK" w:eastAsia="方正楷体_GBK" w:cs="方正楷体_GBK"/>
          <w:b w:val="0"/>
          <w:bCs w:val="0"/>
          <w:i w:val="0"/>
          <w:caps w:val="0"/>
          <w:color w:val="auto"/>
          <w:spacing w:val="0"/>
          <w:kern w:val="2"/>
          <w:sz w:val="32"/>
          <w:szCs w:val="32"/>
          <w:u w:val="none"/>
          <w:shd w:val="clear" w:color="auto" w:fill="FFFFFF"/>
          <w:lang w:val="en-US" w:eastAsia="zh-CN" w:bidi="ar-SA"/>
        </w:rPr>
        <w:t>低水平项目</w:t>
      </w:r>
      <w:r>
        <w:rPr>
          <w:rFonts w:hint="eastAsia" w:ascii="方正楷体_GBK" w:hAnsi="方正楷体_GBK" w:eastAsia="方正楷体_GBK" w:cs="方正楷体_GBK"/>
          <w:b w:val="0"/>
          <w:bCs w:val="0"/>
          <w:i w:val="0"/>
          <w:caps w:val="0"/>
          <w:color w:val="auto"/>
          <w:spacing w:val="0"/>
          <w:kern w:val="2"/>
          <w:sz w:val="32"/>
          <w:szCs w:val="32"/>
          <w:shd w:val="clear" w:color="auto" w:fill="FFFFFF"/>
          <w:lang w:val="en-US" w:eastAsia="zh-CN" w:bidi="ar-SA"/>
        </w:rPr>
        <w:t>盲目发展。</w:t>
      </w:r>
      <w:r>
        <w:rPr>
          <w:rFonts w:hint="eastAsia" w:ascii="方正仿宋_GBK" w:hAnsi="方正仿宋_GBK" w:eastAsia="方正仿宋_GBK" w:cs="方正仿宋_GBK"/>
          <w:b w:val="0"/>
          <w:bCs w:val="0"/>
          <w:i w:val="0"/>
          <w:caps w:val="0"/>
          <w:color w:val="auto"/>
          <w:spacing w:val="0"/>
          <w:kern w:val="0"/>
          <w:sz w:val="32"/>
          <w:szCs w:val="32"/>
          <w:shd w:val="clear" w:color="auto" w:fill="FFFFFF"/>
          <w:lang w:val="en-US" w:eastAsia="zh-CN" w:bidi="ar"/>
        </w:rPr>
        <w:t>从产业准入、节能审查、环境影响评价、产业链四方面严控高耗能高排放项目（以下简称“两高”项目）。除列入国家产业规划布局方案外，严格按照自治区《关于确保完成“十四五”能耗双控目标任务若干保障措施》《坚决遏制“两高”项目低水平盲目发展管控目录》规定，严控“两高”行业新增产能、新建项目。建立“两高”项目管理台账，以石化、焦化、化工、煤化工、建材、钢铁、有色、煤电八大行业设计能耗（等价值）5万吨标准煤以上项目为重点，全面梳理在建、拟建、存量“两高”项目，实行清单管理、分类处置、动态监控。按照</w:t>
      </w:r>
      <w:r>
        <w:rPr>
          <w:rFonts w:hint="eastAsia" w:ascii="方正仿宋_GBK" w:hAnsi="方正仿宋_GBK" w:eastAsia="方正仿宋_GBK" w:cs="方正仿宋_GBK"/>
          <w:b w:val="0"/>
          <w:bCs w:val="0"/>
          <w:color w:val="auto"/>
          <w:sz w:val="32"/>
          <w:szCs w:val="32"/>
          <w:lang w:eastAsia="zh-CN"/>
        </w:rPr>
        <w:t>《内蒙古自治区关于严格能效约束推动重点领域节能降碳工作的实施方案》，</w:t>
      </w:r>
      <w:r>
        <w:rPr>
          <w:rFonts w:hint="eastAsia" w:ascii="方正仿宋_GBK" w:hAnsi="方正仿宋_GBK" w:eastAsia="方正仿宋_GBK" w:cs="方正仿宋_GBK"/>
          <w:b w:val="0"/>
          <w:bCs w:val="0"/>
          <w:color w:val="auto"/>
          <w:sz w:val="32"/>
          <w:szCs w:val="32"/>
          <w:lang w:val="en-US" w:eastAsia="zh-CN"/>
        </w:rPr>
        <w:t>建立企业能效清单，</w:t>
      </w:r>
      <w:r>
        <w:rPr>
          <w:rFonts w:hint="eastAsia" w:ascii="方正仿宋_GBK" w:hAnsi="方正仿宋_GBK" w:eastAsia="方正仿宋_GBK" w:cs="方正仿宋_GBK"/>
          <w:b w:val="0"/>
          <w:bCs w:val="0"/>
          <w:color w:val="auto"/>
          <w:sz w:val="32"/>
          <w:szCs w:val="32"/>
          <w:lang w:eastAsia="zh-CN"/>
        </w:rPr>
        <w:t>对于低于行业能效基准水平的存量项目，要通过技术改造全部达到国家基准水平；对于能效介于标杆水平和基准水平之间的项目，鼓励参照国家标杆水平实施改造升级，争取进入行业能效“领跑者”名单；对于新建项目，全部按照国家能效标杆水平设计建设；对于不能按期完成改造的项目坚决予以淘汰，淘汰时限不超过3年。</w:t>
      </w:r>
      <w:r>
        <w:rPr>
          <w:rFonts w:hint="eastAsia" w:ascii="方正仿宋_GBK" w:hAnsi="方正仿宋_GBK" w:eastAsia="方正仿宋_GBK" w:cs="方正仿宋_GBK"/>
          <w:b w:val="0"/>
          <w:bCs w:val="0"/>
          <w:color w:val="auto"/>
          <w:sz w:val="32"/>
          <w:szCs w:val="32"/>
          <w:lang w:val="en-US" w:eastAsia="zh-CN"/>
        </w:rPr>
        <w:t>加强“两高”项目全过程监管，对不符合政策要求、违规审批、未批先建、批建不符、超批复用能、超标排放的“两高”项目坚决叫停、坚决拿下，依法依规严肃查处。</w:t>
      </w:r>
      <w:r>
        <w:rPr>
          <w:rFonts w:hint="eastAsia" w:ascii="方正仿宋_GBK" w:hAnsi="方正仿宋_GBK" w:eastAsia="方正仿宋_GBK" w:cs="方正仿宋_GBK"/>
          <w:b w:val="0"/>
          <w:bCs w:val="0"/>
          <w:i w:val="0"/>
          <w:caps w:val="0"/>
          <w:color w:val="auto"/>
          <w:spacing w:val="0"/>
          <w:kern w:val="0"/>
          <w:sz w:val="32"/>
          <w:szCs w:val="32"/>
          <w:shd w:val="clear" w:color="auto" w:fill="FFFFFF"/>
          <w:lang w:val="en-US" w:eastAsia="zh-CN" w:bidi="ar"/>
        </w:rPr>
        <w:t>严肃财经纪律，完善“两高”项目融资政策。</w:t>
      </w:r>
      <w:r>
        <w:rPr>
          <w:rFonts w:hint="eastAsia" w:ascii="方正楷体_GBK" w:hAnsi="方正楷体_GBK" w:eastAsia="方正楷体_GBK" w:cs="方正楷体_GBK"/>
          <w:b w:val="0"/>
          <w:bCs w:val="0"/>
          <w:color w:val="auto"/>
          <w:kern w:val="2"/>
          <w:sz w:val="32"/>
          <w:szCs w:val="32"/>
          <w:lang w:val="en-US" w:eastAsia="zh-CN" w:bidi="ar-SA"/>
        </w:rPr>
        <w:t>（自治区发展改革委、工业和信息化厅、生态环境厅、能源局牵头，自治区市场监管局、地方金融监管局，人民银行呼和浩特中心支行、内蒙古银保监局等按职责分工负责）</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rPr>
          <w:rFonts w:hint="eastAsia" w:ascii="方正楷体_GBK" w:hAnsi="方正楷体_GBK" w:eastAsia="方正楷体_GBK" w:cs="方正楷体_GBK"/>
          <w:b w:val="0"/>
          <w:bCs w:val="0"/>
          <w:color w:val="auto"/>
          <w:kern w:val="2"/>
          <w:sz w:val="32"/>
          <w:szCs w:val="32"/>
          <w:lang w:val="en-US" w:eastAsia="zh-CN" w:bidi="ar-SA"/>
        </w:rPr>
      </w:pPr>
      <w:r>
        <w:rPr>
          <w:rFonts w:hint="eastAsia" w:ascii="方正楷体_GBK" w:hAnsi="方正楷体_GBK" w:eastAsia="方正楷体_GBK" w:cs="方正楷体_GBK"/>
          <w:b w:val="0"/>
          <w:bCs w:val="0"/>
          <w:i w:val="0"/>
          <w:caps w:val="0"/>
          <w:color w:val="auto"/>
          <w:spacing w:val="0"/>
          <w:kern w:val="2"/>
          <w:sz w:val="32"/>
          <w:szCs w:val="32"/>
          <w:shd w:val="clear" w:color="auto" w:fill="FFFFFF"/>
          <w:lang w:val="en-US" w:eastAsia="zh-CN" w:bidi="ar-SA"/>
        </w:rPr>
        <w:t>（四）健全法规和标准体系。</w:t>
      </w:r>
      <w:r>
        <w:rPr>
          <w:rFonts w:hint="eastAsia" w:ascii="方正仿宋_GBK" w:hAnsi="方正仿宋_GBK" w:eastAsia="方正仿宋_GBK" w:cs="方正仿宋_GBK"/>
          <w:b w:val="0"/>
          <w:bCs w:val="0"/>
          <w:i w:val="0"/>
          <w:caps w:val="0"/>
          <w:color w:val="auto"/>
          <w:spacing w:val="0"/>
          <w:kern w:val="0"/>
          <w:sz w:val="32"/>
          <w:szCs w:val="32"/>
          <w:shd w:val="clear" w:color="auto" w:fill="FFFFFF"/>
          <w:lang w:val="en-US" w:eastAsia="zh-CN" w:bidi="ar"/>
        </w:rPr>
        <w:t>贯彻落实《中华人民共和国节约能源法》《中华人民共和国循环经济促进法》《中华人民共和国清洁生产促进法》《中华人民共和国环境影响评价法》及《生态环境监测条例》《民用建筑节能条例》《公共机构节能条例》等法律法规。修订一批“两高”行业自治区节能地方标准，修订《内蒙古自治区实施〈中华人民共和国节约能源法〉办法》《内蒙古自治区固定资产投资项目节能审查实施办法》等。按照国家要求，深入开展能效、水效“领跑者”引领行动。严格执行能耗限额标准和污染物排放标准，严格执行国家居民消费品挥发性有机物含量限制标准和涉挥发性有机物重点行业大气污染排放标准，进口非道路移动机械和发动机执行国家现行新生产设备排放标准。</w:t>
      </w:r>
      <w:r>
        <w:rPr>
          <w:rFonts w:hint="eastAsia" w:ascii="方正楷体_GBK" w:hAnsi="方正楷体_GBK" w:eastAsia="方正楷体_GBK" w:cs="方正楷体_GBK"/>
          <w:b w:val="0"/>
          <w:bCs w:val="0"/>
          <w:color w:val="auto"/>
          <w:kern w:val="2"/>
          <w:sz w:val="32"/>
          <w:szCs w:val="32"/>
          <w:lang w:val="en-US" w:eastAsia="zh-CN" w:bidi="ar-SA"/>
        </w:rPr>
        <w:t>（自治区发展改革委、生态环境厅、司法厅、工业和信息化厅、财政厅、住房城乡建设厅、交通运输厅、市场监管局、机关事务管理局等按职责分工负责）</w:t>
      </w:r>
    </w:p>
    <w:p>
      <w:pPr>
        <w:keepNext w:val="0"/>
        <w:keepLines w:val="0"/>
        <w:pageBreakBefore w:val="0"/>
        <w:widowControl w:val="0"/>
        <w:shd w:val="clear" w:color="auto" w:fill="auto"/>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rPr>
          <w:rFonts w:hint="eastAsia" w:ascii="方正楷体_GBK" w:hAnsi="方正楷体_GBK" w:eastAsia="方正楷体_GBK" w:cs="方正楷体_GBK"/>
          <w:b w:val="0"/>
          <w:bCs w:val="0"/>
          <w:color w:val="auto"/>
          <w:kern w:val="2"/>
          <w:sz w:val="32"/>
          <w:szCs w:val="32"/>
          <w:lang w:val="en-US" w:eastAsia="zh-CN" w:bidi="ar-SA"/>
        </w:rPr>
      </w:pPr>
      <w:r>
        <w:rPr>
          <w:rFonts w:hint="eastAsia" w:ascii="方正楷体_GBK" w:hAnsi="方正楷体_GBK" w:eastAsia="方正楷体_GBK" w:cs="方正楷体_GBK"/>
          <w:b w:val="0"/>
          <w:bCs w:val="0"/>
          <w:i w:val="0"/>
          <w:caps w:val="0"/>
          <w:color w:val="auto"/>
          <w:spacing w:val="0"/>
          <w:kern w:val="2"/>
          <w:sz w:val="32"/>
          <w:szCs w:val="32"/>
          <w:shd w:val="clear" w:color="auto" w:fill="FFFFFF"/>
          <w:lang w:val="en-US" w:eastAsia="zh-CN" w:bidi="ar-SA"/>
        </w:rPr>
        <w:t>（五）完善经济政策机制。</w:t>
      </w:r>
      <w:r>
        <w:rPr>
          <w:rFonts w:hint="eastAsia" w:ascii="方正仿宋_GBK" w:hAnsi="方正仿宋_GBK" w:eastAsia="方正仿宋_GBK" w:cs="方正仿宋_GBK"/>
          <w:b w:val="0"/>
          <w:bCs w:val="0"/>
          <w:color w:val="auto"/>
          <w:sz w:val="32"/>
          <w:szCs w:val="32"/>
          <w:u w:val="none"/>
          <w:lang w:val="en-US" w:eastAsia="zh-CN"/>
        </w:rPr>
        <w:t>落实节能减排财政支持政策，统筹安排专项资金，</w:t>
      </w:r>
      <w:r>
        <w:rPr>
          <w:rFonts w:hint="eastAsia" w:ascii="方正仿宋_GBK" w:hAnsi="方正仿宋_GBK" w:eastAsia="方正仿宋_GBK" w:cs="方正仿宋_GBK"/>
          <w:b w:val="0"/>
          <w:bCs w:val="0"/>
          <w:color w:val="auto"/>
          <w:sz w:val="32"/>
          <w:szCs w:val="32"/>
          <w:lang w:val="en-US" w:eastAsia="zh-CN"/>
        </w:rPr>
        <w:t>加大</w:t>
      </w:r>
      <w:r>
        <w:rPr>
          <w:rFonts w:hint="eastAsia" w:ascii="方正仿宋_GBK" w:hAnsi="方正仿宋_GBK" w:eastAsia="方正仿宋_GBK" w:cs="方正仿宋_GBK"/>
          <w:b w:val="0"/>
          <w:bCs w:val="0"/>
          <w:color w:val="auto"/>
          <w:sz w:val="32"/>
          <w:szCs w:val="32"/>
          <w:u w:val="none"/>
          <w:lang w:val="en-US" w:eastAsia="zh-CN"/>
        </w:rPr>
        <w:t>对节能改造、综合能效提升、淘汰落后和化解过剩产能、重大节能技术研发和产业化示范等节能减排重点工程的资金支持力度</w:t>
      </w:r>
      <w:r>
        <w:rPr>
          <w:rFonts w:hint="eastAsia" w:ascii="方正仿宋_GBK" w:hAnsi="方正仿宋_GBK" w:eastAsia="方正仿宋_GBK" w:cs="方正仿宋_GBK"/>
          <w:b w:val="0"/>
          <w:bCs w:val="0"/>
          <w:color w:val="auto"/>
          <w:sz w:val="32"/>
          <w:szCs w:val="32"/>
          <w:lang w:val="en-US" w:eastAsia="zh-CN"/>
        </w:rPr>
        <w:t>。积极争取中央预算内投资相关专项、国家节能工作专项奖励资金等，对节能目标责任评价考核结果为超额完成等级的地区给予奖励。实施更加有力的节能电价政策，调整完善高耗能行业电价政策和电力市场交易政策，10千伏及以上高耗能行业用户全部进入电力市场，自治区确定的高耗能行业用电企业交易电价上浮不受限制。整合差别化电价政策，建立统一的高耗能行业阶梯电价制度，对能效达到基准水平的存量企业和能效达到标杆水平的在建、拟建企业用电不加价，未达到的根据能效水平差距实行阶梯电价；对高耗能行业限制类产能（装置）用电继续实行惩罚性交易电价。加价电费专项用于支持企业节能减污降碳技术改造。</w:t>
      </w:r>
      <w:r>
        <w:rPr>
          <w:rFonts w:hint="eastAsia" w:ascii="方正仿宋_GBK" w:hAnsi="方正仿宋_GBK" w:eastAsia="方正仿宋_GBK" w:cs="方正仿宋_GBK"/>
          <w:b w:val="0"/>
          <w:bCs w:val="0"/>
          <w:i w:val="0"/>
          <w:caps w:val="0"/>
          <w:color w:val="auto"/>
          <w:spacing w:val="0"/>
          <w:kern w:val="0"/>
          <w:sz w:val="32"/>
          <w:szCs w:val="32"/>
          <w:shd w:val="clear" w:color="auto" w:fill="FFFFFF"/>
          <w:lang w:val="en-US" w:eastAsia="zh-CN" w:bidi="ar"/>
        </w:rPr>
        <w:t>健全绿色金融体系，大力发展绿色信贷，支持重点行业领域节能减排，用好碳减排支持工具和支持煤炭清洁高效利用专项再贷款。鼓励有条件的地区探索建立绿色贷款财政贴息、奖补、风险补偿、信用担保等配套支持政策。加快绿色债券发展，支持符合条件的企业发行绿色公司债券。支持符合条件的节能减排企业上市融资和再融资。积极推进环境高风险领域企业投保环境污染责任保险。落实环境保护、节能节水、资源综合利用税收优惠政策。配合国家完善挥发性有机物监测技术和排放量计算方法。深化供热体制改革，完善城镇供热价格机制。建立健全城镇污水处理费征收标准动态调整机制，探索建立受益农户污水处理付费机制。</w:t>
      </w:r>
      <w:r>
        <w:rPr>
          <w:rFonts w:hint="eastAsia" w:ascii="方正楷体_GBK" w:hAnsi="方正楷体_GBK" w:eastAsia="方正楷体_GBK" w:cs="方正楷体_GBK"/>
          <w:b w:val="0"/>
          <w:bCs w:val="0"/>
          <w:color w:val="auto"/>
          <w:kern w:val="2"/>
          <w:sz w:val="32"/>
          <w:szCs w:val="32"/>
          <w:lang w:val="en-US" w:eastAsia="zh-CN" w:bidi="ar-SA"/>
        </w:rPr>
        <w:t>（自治区发展改革委、财政厅、工业和信息化厅、生态环境厅、住房城乡建设厅、地方金融监管局、能源局，人民银行呼和浩特中心支行、内蒙古银保监局、内蒙古证监局、内蒙古税务局等按职责分工负责）</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rPr>
          <w:rFonts w:hint="eastAsia" w:ascii="方正楷体_GBK" w:hAnsi="方正楷体_GBK" w:eastAsia="方正楷体_GBK" w:cs="方正楷体_GBK"/>
          <w:b w:val="0"/>
          <w:bCs w:val="0"/>
          <w:color w:val="auto"/>
          <w:kern w:val="2"/>
          <w:sz w:val="32"/>
          <w:szCs w:val="32"/>
          <w:lang w:val="en-US" w:eastAsia="zh-CN" w:bidi="ar-SA"/>
        </w:rPr>
      </w:pPr>
      <w:r>
        <w:rPr>
          <w:rFonts w:hint="eastAsia" w:ascii="方正楷体_GBK" w:hAnsi="方正楷体_GBK" w:eastAsia="方正楷体_GBK" w:cs="方正楷体_GBK"/>
          <w:b w:val="0"/>
          <w:bCs w:val="0"/>
          <w:i w:val="0"/>
          <w:caps w:val="0"/>
          <w:color w:val="auto"/>
          <w:spacing w:val="0"/>
          <w:kern w:val="2"/>
          <w:sz w:val="32"/>
          <w:szCs w:val="32"/>
          <w:shd w:val="clear" w:color="auto" w:fill="FFFFFF"/>
          <w:lang w:val="en-US" w:eastAsia="zh-CN" w:bidi="ar-SA"/>
        </w:rPr>
        <w:t>（六）健全节能减排市场化机制。</w:t>
      </w:r>
      <w:r>
        <w:rPr>
          <w:rFonts w:hint="eastAsia" w:ascii="方正仿宋_GBK" w:hAnsi="方正仿宋_GBK" w:eastAsia="方正仿宋_GBK" w:cs="方正仿宋_GBK"/>
          <w:b w:val="0"/>
          <w:bCs w:val="0"/>
          <w:i w:val="0"/>
          <w:caps w:val="0"/>
          <w:color w:val="auto"/>
          <w:spacing w:val="0"/>
          <w:kern w:val="2"/>
          <w:sz w:val="32"/>
          <w:szCs w:val="32"/>
          <w:u w:val="none"/>
          <w:shd w:val="clear" w:color="auto" w:fill="FFFFFF"/>
          <w:lang w:val="en-US" w:eastAsia="zh-CN" w:bidi="ar-SA"/>
        </w:rPr>
        <w:t>鼓励各地区建立节能量指标有偿收储机制，加强能耗削减量指标区域统筹。探索开展节能量指标市场化交易，逐步形成“用能者付费、节能者受益”的用能成本收益机制</w:t>
      </w:r>
      <w:r>
        <w:rPr>
          <w:rFonts w:hint="eastAsia" w:ascii="方正仿宋_GBK" w:hAnsi="方正仿宋_GBK" w:eastAsia="方正仿宋_GBK" w:cs="方正仿宋_GBK"/>
          <w:b w:val="0"/>
          <w:bCs w:val="0"/>
          <w:i w:val="0"/>
          <w:caps w:val="0"/>
          <w:color w:val="auto"/>
          <w:spacing w:val="0"/>
          <w:kern w:val="0"/>
          <w:sz w:val="32"/>
          <w:szCs w:val="32"/>
          <w:shd w:val="clear" w:color="auto" w:fill="FFFFFF"/>
          <w:lang w:val="en-US" w:eastAsia="zh-CN" w:bidi="ar"/>
        </w:rPr>
        <w:t>，推动能源要素向优质项目、企业、产业及经济发展条件好的地区流动和集聚。积极对接全国碳排放交易市场，培育和发展自治区碳排放市场。培育和发展排污权交易市场，鼓励有条件的地区扩大排污权交易试点范围。推广绿色电力证书交易，鼓励市场主体通过绿色电力证书交易方式完成可再生能源电力消纳。推行能源费用托管等合同能源管理模式，积极推广节能咨询、诊断、设计、融资、改造、托管等“一站式”综合服务模式。发挥自治区碳达峰、碳中和专家库作用。推进工业园区环境综合治理第三方托管服务，引导各类资本参与节能降碳管理、环境治理与服务、投资建设、运行。落实能效标识管理制度，推动绿色产品认证、节能低碳环保产品认证。</w:t>
      </w:r>
      <w:r>
        <w:rPr>
          <w:rFonts w:hint="eastAsia" w:ascii="方正楷体_GBK" w:hAnsi="方正楷体_GBK" w:eastAsia="方正楷体_GBK" w:cs="方正楷体_GBK"/>
          <w:b w:val="0"/>
          <w:bCs w:val="0"/>
          <w:color w:val="auto"/>
          <w:kern w:val="2"/>
          <w:sz w:val="32"/>
          <w:szCs w:val="32"/>
          <w:lang w:val="en-US" w:eastAsia="zh-CN" w:bidi="ar-SA"/>
        </w:rPr>
        <w:t>（自治区发展改革委、生态环境厅、工业和信息化厅、财政厅、市场监管局、能源局等按职责分工负责）</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rPr>
          <w:rFonts w:hint="eastAsia" w:ascii="方正楷体_GBK" w:hAnsi="方正楷体_GBK" w:eastAsia="方正楷体_GBK" w:cs="方正楷体_GBK"/>
          <w:b w:val="0"/>
          <w:bCs w:val="0"/>
          <w:color w:val="auto"/>
          <w:kern w:val="2"/>
          <w:sz w:val="32"/>
          <w:szCs w:val="32"/>
          <w:lang w:val="en-US" w:eastAsia="zh-CN" w:bidi="ar-SA"/>
        </w:rPr>
      </w:pPr>
      <w:r>
        <w:rPr>
          <w:rFonts w:hint="eastAsia" w:ascii="方正楷体_GBK" w:hAnsi="方正楷体_GBK" w:eastAsia="方正楷体_GBK" w:cs="方正楷体_GBK"/>
          <w:b w:val="0"/>
          <w:bCs w:val="0"/>
          <w:i w:val="0"/>
          <w:caps w:val="0"/>
          <w:color w:val="auto"/>
          <w:spacing w:val="0"/>
          <w:kern w:val="2"/>
          <w:sz w:val="32"/>
          <w:szCs w:val="32"/>
          <w:shd w:val="clear" w:color="auto" w:fill="FFFFFF"/>
          <w:lang w:val="en-US" w:eastAsia="zh-CN" w:bidi="ar-SA"/>
        </w:rPr>
        <w:t>（七）加强统计监测能力建设。</w:t>
      </w:r>
      <w:r>
        <w:rPr>
          <w:rFonts w:hint="eastAsia" w:ascii="方正仿宋_GBK" w:hAnsi="方正仿宋_GBK" w:eastAsia="方正仿宋_GBK" w:cs="方正仿宋_GBK"/>
          <w:b w:val="0"/>
          <w:bCs w:val="0"/>
          <w:i w:val="0"/>
          <w:caps w:val="0"/>
          <w:color w:val="auto"/>
          <w:spacing w:val="0"/>
          <w:kern w:val="0"/>
          <w:sz w:val="32"/>
          <w:szCs w:val="32"/>
          <w:shd w:val="clear" w:color="auto" w:fill="FFFFFF"/>
          <w:lang w:val="en-US" w:eastAsia="zh-CN" w:bidi="ar"/>
        </w:rPr>
        <w:t>严格落实重点用能单位能源利用状况报告制度，加强重点用能单位能耗在线监测系统建设和应用，提升能源消费监测分析能力。加强能源计量器具监管，健全能源计量技术规范和标准体系，强化用能单位计量主体责任，加强统计能力建设。完善细化能源品种分类统计，健全工业、建筑、交通等领域能源消费统计指标和方法体系，健全规范能源统计工作机制，保证统计数据全面真实客观。构建覆盖排污许可持证单位的固定污染源监测体系，加强工业园区污染源监测，推动涉挥发性有机物排放的重点排污单位安装在线监控监测设施。加强统计基层队伍建设，强化统计数据审核，防范统计造假、弄虚作假，提升统计数据质量。</w:t>
      </w:r>
      <w:r>
        <w:rPr>
          <w:rFonts w:hint="eastAsia" w:ascii="方正楷体_GBK" w:hAnsi="方正楷体_GBK" w:eastAsia="方正楷体_GBK" w:cs="方正楷体_GBK"/>
          <w:b w:val="0"/>
          <w:bCs w:val="0"/>
          <w:color w:val="auto"/>
          <w:kern w:val="2"/>
          <w:sz w:val="32"/>
          <w:szCs w:val="32"/>
          <w:lang w:val="en-US" w:eastAsia="zh-CN" w:bidi="ar-SA"/>
        </w:rPr>
        <w:t>（自治区统计局、发展改革委、生态环境厅、工业和信息化厅、住房城乡建设厅、交通运输厅、市场监管局、能源局等按职责分工负责）</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rPr>
          <w:rFonts w:hint="eastAsia" w:ascii="方正楷体_GBK" w:hAnsi="方正楷体_GBK" w:eastAsia="方正楷体_GBK" w:cs="方正楷体_GBK"/>
          <w:b w:val="0"/>
          <w:bCs w:val="0"/>
          <w:color w:val="auto"/>
          <w:kern w:val="2"/>
          <w:sz w:val="32"/>
          <w:szCs w:val="32"/>
          <w:lang w:val="en-US" w:eastAsia="zh-CN" w:bidi="ar-SA"/>
        </w:rPr>
      </w:pPr>
      <w:r>
        <w:rPr>
          <w:rFonts w:hint="eastAsia" w:ascii="方正楷体_GBK" w:hAnsi="方正楷体_GBK" w:eastAsia="方正楷体_GBK" w:cs="方正楷体_GBK"/>
          <w:b w:val="0"/>
          <w:bCs w:val="0"/>
          <w:i w:val="0"/>
          <w:caps w:val="0"/>
          <w:color w:val="auto"/>
          <w:spacing w:val="0"/>
          <w:kern w:val="2"/>
          <w:sz w:val="32"/>
          <w:szCs w:val="32"/>
          <w:shd w:val="clear" w:color="auto" w:fill="FFFFFF"/>
          <w:lang w:val="en-US" w:eastAsia="zh-CN" w:bidi="ar-SA"/>
        </w:rPr>
        <w:t>（八）壮大节能减排人才队伍。</w:t>
      </w:r>
      <w:r>
        <w:rPr>
          <w:rFonts w:hint="eastAsia" w:ascii="方正仿宋_GBK" w:hAnsi="方正仿宋_GBK" w:eastAsia="方正仿宋_GBK" w:cs="方正仿宋_GBK"/>
          <w:b w:val="0"/>
          <w:bCs w:val="0"/>
          <w:color w:val="auto"/>
          <w:kern w:val="0"/>
          <w:sz w:val="32"/>
          <w:szCs w:val="32"/>
          <w:lang w:val="en-US" w:eastAsia="zh-CN" w:bidi="ar"/>
        </w:rPr>
        <w:t>加强节能监察队伍和基础能力建设</w:t>
      </w:r>
      <w:r>
        <w:rPr>
          <w:rFonts w:hint="eastAsia" w:ascii="方正仿宋_GBK" w:hAnsi="方正仿宋_GBK" w:eastAsia="方正仿宋_GBK" w:cs="方正仿宋_GBK"/>
          <w:b w:val="0"/>
          <w:bCs w:val="0"/>
          <w:color w:val="auto"/>
          <w:kern w:val="0"/>
          <w:sz w:val="32"/>
          <w:szCs w:val="32"/>
          <w:lang w:val="en-US" w:eastAsia="zh-Hans" w:bidi="ar"/>
        </w:rPr>
        <w:t>，</w:t>
      </w:r>
      <w:r>
        <w:rPr>
          <w:rFonts w:hint="eastAsia" w:ascii="方正仿宋_GBK" w:hAnsi="方正仿宋_GBK" w:eastAsia="方正仿宋_GBK" w:cs="方正仿宋_GBK"/>
          <w:b w:val="0"/>
          <w:bCs w:val="0"/>
          <w:color w:val="auto"/>
          <w:kern w:val="0"/>
          <w:sz w:val="32"/>
          <w:szCs w:val="32"/>
          <w:lang w:val="en-US" w:eastAsia="zh-CN" w:bidi="ar"/>
        </w:rPr>
        <w:t>健全完善自治区、盟市、旗县（市、区）三级节能监察体系，推动节能监察机构不健全的盟市、旗县（市、区）设立节能监察机构，配备相应节能监察人员和设备。重点用能单位按要求设置能源管理岗位和负责人。加强旗县级及苏木乡镇基层生态环境监管队伍建设，重点排污单位设置专职环保人员。加大政府有关部门及监察</w:t>
      </w:r>
      <w:r>
        <w:rPr>
          <w:rFonts w:hint="eastAsia" w:ascii="方正仿宋_GBK" w:hAnsi="方正仿宋_GBK" w:eastAsia="方正仿宋_GBK" w:cs="方正仿宋_GBK"/>
          <w:b w:val="0"/>
          <w:bCs w:val="0"/>
          <w:i w:val="0"/>
          <w:caps w:val="0"/>
          <w:color w:val="auto"/>
          <w:spacing w:val="0"/>
          <w:kern w:val="0"/>
          <w:sz w:val="32"/>
          <w:szCs w:val="32"/>
          <w:shd w:val="clear" w:color="auto" w:fill="FFFFFF"/>
          <w:lang w:val="en-US" w:eastAsia="zh-CN" w:bidi="ar"/>
        </w:rPr>
        <w:t>执法机构、企业等节能减排工作人员培训力度，通过业务培训、比赛竞赛、经验交流等方式提高业务水平。</w:t>
      </w:r>
      <w:r>
        <w:rPr>
          <w:rFonts w:hint="eastAsia" w:ascii="方正楷体_GBK" w:hAnsi="方正楷体_GBK" w:eastAsia="方正楷体_GBK" w:cs="方正楷体_GBK"/>
          <w:b w:val="0"/>
          <w:bCs w:val="0"/>
          <w:color w:val="auto"/>
          <w:kern w:val="2"/>
          <w:sz w:val="32"/>
          <w:szCs w:val="32"/>
          <w:lang w:val="en-US" w:eastAsia="zh-CN" w:bidi="ar-SA"/>
        </w:rPr>
        <w:t>（自治区发展改革委、生态环境厅、工业和信息化厅、人力资源社会保障厅等按职责分工负责）</w:t>
      </w: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auto"/>
        <w:kinsoku/>
        <w:wordWrap/>
        <w:overflowPunct/>
        <w:topLinePunct/>
        <w:autoSpaceDE/>
        <w:autoSpaceDN/>
        <w:bidi w:val="0"/>
        <w:adjustRightInd/>
        <w:spacing w:line="580" w:lineRule="exact"/>
        <w:ind w:left="0" w:leftChars="0" w:firstLine="640" w:firstLineChars="200"/>
        <w:textAlignment w:val="auto"/>
        <w:rPr>
          <w:rFonts w:hint="eastAsia" w:ascii="方正仿宋_GBK" w:hAnsi="方正仿宋_GBK" w:eastAsia="方正仿宋_GBK" w:cs="方正仿宋_GBK"/>
          <w:b w:val="0"/>
          <w:bCs w:val="0"/>
          <w:lang w:val="en-US" w:eastAsia="zh-CN"/>
        </w:rPr>
      </w:pPr>
      <w:r>
        <w:rPr>
          <w:rFonts w:hint="eastAsia" w:ascii="方正楷体_GBK" w:hAnsi="方正楷体_GBK" w:eastAsia="方正楷体_GBK" w:cs="方正楷体_GBK"/>
          <w:b w:val="0"/>
          <w:bCs w:val="0"/>
          <w:i w:val="0"/>
          <w:caps w:val="0"/>
          <w:color w:val="auto"/>
          <w:spacing w:val="0"/>
          <w:kern w:val="2"/>
          <w:sz w:val="32"/>
          <w:szCs w:val="32"/>
          <w:u w:val="none"/>
          <w:shd w:val="clear" w:color="auto" w:fill="FFFFFF"/>
          <w:lang w:val="en-US" w:eastAsia="zh-CN" w:bidi="ar-SA"/>
        </w:rPr>
        <w:t>（九）加大节能减排先进技术研发和推广应用力度</w:t>
      </w:r>
      <w:r>
        <w:rPr>
          <w:rFonts w:hint="eastAsia" w:ascii="方正楷体_GBK" w:hAnsi="方正楷体_GBK" w:eastAsia="方正楷体_GBK" w:cs="方正楷体_GBK"/>
          <w:b w:val="0"/>
          <w:bCs w:val="0"/>
          <w:i w:val="0"/>
          <w:caps w:val="0"/>
          <w:color w:val="auto"/>
          <w:spacing w:val="0"/>
          <w:kern w:val="0"/>
          <w:sz w:val="32"/>
          <w:szCs w:val="32"/>
          <w:u w:val="none"/>
          <w:shd w:val="clear" w:color="auto" w:fill="FFFFFF"/>
          <w:lang w:val="en-US" w:eastAsia="zh-CN" w:bidi="ar"/>
        </w:rPr>
        <w:t>。</w:t>
      </w:r>
      <w:r>
        <w:rPr>
          <w:rFonts w:hint="eastAsia" w:ascii="方正仿宋_GBK" w:hAnsi="方正仿宋_GBK" w:eastAsia="方正仿宋_GBK" w:cs="方正仿宋_GBK"/>
          <w:b w:val="0"/>
          <w:bCs w:val="0"/>
          <w:i w:val="0"/>
          <w:caps w:val="0"/>
          <w:color w:val="auto"/>
          <w:spacing w:val="0"/>
          <w:kern w:val="0"/>
          <w:sz w:val="32"/>
          <w:szCs w:val="32"/>
          <w:u w:val="none"/>
          <w:shd w:val="clear" w:color="auto" w:fill="FFFFFF"/>
          <w:lang w:val="en-US" w:eastAsia="zh-CN" w:bidi="ar"/>
        </w:rPr>
        <w:t>强化新能源与新型电力系统、碳捕集利用与封存（CCUS）技术研发，支持发展低碳化转型技术，加强生态系统增汇技术研究，探索非电可再生能源利用技术研发。围绕电力、钢铁、化工、有色、建筑等重点行业，推进余热回收、能源梯级利用等技术开发和应用。提高煤炭清洁高效利用的自主研发能力，开展燃煤锅炉节能环保综合提升、电机系统能效提升关键技术研究，深化智慧能源管理，全面提升节能减排能力。</w:t>
      </w:r>
      <w:r>
        <w:rPr>
          <w:rFonts w:hint="eastAsia" w:ascii="方正楷体_GBK" w:hAnsi="方正楷体_GBK" w:eastAsia="方正楷体_GBK" w:cs="方正楷体_GBK"/>
          <w:b w:val="0"/>
          <w:bCs w:val="0"/>
          <w:i w:val="0"/>
          <w:caps w:val="0"/>
          <w:color w:val="auto"/>
          <w:spacing w:val="0"/>
          <w:kern w:val="0"/>
          <w:sz w:val="32"/>
          <w:szCs w:val="32"/>
          <w:u w:val="none"/>
          <w:shd w:val="clear" w:color="auto" w:fill="FFFFFF"/>
          <w:lang w:val="en-US" w:eastAsia="zh-CN" w:bidi="ar"/>
        </w:rPr>
        <w:t>（自治区科技厅、发展改革委、工业和信息化厅、生态环境厅、能源局等按职责分工负责）</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rPr>
          <w:rFonts w:hint="eastAsia" w:ascii="方正黑体_GBK" w:hAnsi="方正黑体_GBK" w:eastAsia="方正黑体_GBK" w:cs="方正黑体_GBK"/>
          <w:b w:val="0"/>
          <w:bCs w:val="0"/>
          <w:color w:val="auto"/>
          <w:kern w:val="2"/>
          <w:sz w:val="32"/>
          <w:szCs w:val="32"/>
          <w:lang w:val="en-US" w:eastAsia="zh-CN" w:bidi="ar-SA"/>
        </w:rPr>
      </w:pPr>
      <w:r>
        <w:rPr>
          <w:rFonts w:hint="eastAsia" w:ascii="方正黑体_GBK" w:hAnsi="方正黑体_GBK" w:eastAsia="方正黑体_GBK" w:cs="方正黑体_GBK"/>
          <w:b w:val="0"/>
          <w:bCs w:val="0"/>
          <w:color w:val="auto"/>
          <w:kern w:val="2"/>
          <w:sz w:val="32"/>
          <w:szCs w:val="32"/>
          <w:lang w:val="en-US" w:eastAsia="zh-CN" w:bidi="ar-SA"/>
        </w:rPr>
        <w:t>五、强化工作落实</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rPr>
          <w:rFonts w:hint="eastAsia" w:ascii="方正楷体_GBK" w:hAnsi="方正楷体_GBK" w:eastAsia="方正楷体_GBK" w:cs="方正楷体_GBK"/>
          <w:b w:val="0"/>
          <w:bCs w:val="0"/>
          <w:color w:val="auto"/>
          <w:kern w:val="2"/>
          <w:sz w:val="32"/>
          <w:szCs w:val="32"/>
          <w:lang w:val="en-US" w:eastAsia="zh-CN" w:bidi="ar-SA"/>
        </w:rPr>
      </w:pPr>
      <w:r>
        <w:rPr>
          <w:rFonts w:hint="eastAsia" w:ascii="方正楷体_GBK" w:hAnsi="方正楷体_GBK" w:eastAsia="方正楷体_GBK" w:cs="方正楷体_GBK"/>
          <w:b w:val="0"/>
          <w:bCs w:val="0"/>
          <w:i w:val="0"/>
          <w:caps w:val="0"/>
          <w:color w:val="auto"/>
          <w:spacing w:val="0"/>
          <w:kern w:val="2"/>
          <w:sz w:val="32"/>
          <w:szCs w:val="32"/>
          <w:shd w:val="clear" w:color="auto" w:fill="FFFFFF"/>
          <w:lang w:val="en-US" w:eastAsia="zh-CN" w:bidi="ar-SA"/>
        </w:rPr>
        <w:t>（一）加强组织领导。</w:t>
      </w:r>
      <w:r>
        <w:rPr>
          <w:rFonts w:hint="eastAsia" w:ascii="方正仿宋_GBK" w:hAnsi="方正仿宋_GBK" w:eastAsia="方正仿宋_GBK" w:cs="方正仿宋_GBK"/>
          <w:b w:val="0"/>
          <w:bCs w:val="0"/>
          <w:i w:val="0"/>
          <w:caps w:val="0"/>
          <w:color w:val="auto"/>
          <w:spacing w:val="0"/>
          <w:kern w:val="0"/>
          <w:sz w:val="32"/>
          <w:szCs w:val="32"/>
          <w:shd w:val="clear" w:color="auto" w:fill="FFFFFF"/>
          <w:lang w:val="en-US" w:eastAsia="zh-CN" w:bidi="ar"/>
        </w:rPr>
        <w:t>各盟市、各部门和各有关单位要坚决贯彻落实国家关于节能减排的决策部署和自治区工作要求，坚持系统观念，明确目标责任，制定年度计划，狠抓工作落实，确保完成“十四五”节能减排各项任务。各级人民政府对本行政区域内的节能减排工作负总责，主要负责人为第一责任人，要切实加强组织领导和部署推进，将本地区节能减排目标与国民经济和社会发展五年规划及年度计划充分衔接，科学明确下一级人民政府、有关部门和重点单位责任。要科学考核，防止目标任务简单层层分解。国有企业要带头落实节能减排目标责任，鼓励实行更严格的目标管理。自治区发展改革委、生态环境厅要加强统筹协调，做好工作指导，推动任务有序有效落实，及时防范化解风险，重大情况及时向自治区人民政府报告。</w:t>
      </w:r>
      <w:r>
        <w:rPr>
          <w:rFonts w:hint="eastAsia" w:ascii="方正楷体_GBK" w:hAnsi="方正楷体_GBK" w:eastAsia="方正楷体_GBK" w:cs="方正楷体_GBK"/>
          <w:b w:val="0"/>
          <w:bCs w:val="0"/>
          <w:color w:val="auto"/>
          <w:kern w:val="2"/>
          <w:sz w:val="32"/>
          <w:szCs w:val="32"/>
          <w:lang w:val="en-US" w:eastAsia="zh-CN" w:bidi="ar-SA"/>
        </w:rPr>
        <w:t>（自治区发展改革委、生态环境厅牵头，自治区各有关部门按职责分工负责）</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rPr>
          <w:rFonts w:hint="eastAsia" w:ascii="方正楷体_GBK" w:hAnsi="方正楷体_GBK" w:eastAsia="方正楷体_GBK" w:cs="方正楷体_GBK"/>
          <w:b w:val="0"/>
          <w:bCs w:val="0"/>
          <w:color w:val="auto"/>
          <w:kern w:val="2"/>
          <w:sz w:val="32"/>
          <w:szCs w:val="32"/>
          <w:lang w:val="en-US" w:eastAsia="zh-CN" w:bidi="ar-SA"/>
        </w:rPr>
      </w:pPr>
      <w:r>
        <w:rPr>
          <w:rFonts w:hint="eastAsia" w:ascii="方正楷体_GBK" w:hAnsi="方正楷体_GBK" w:eastAsia="方正楷体_GBK" w:cs="方正楷体_GBK"/>
          <w:b w:val="0"/>
          <w:bCs w:val="0"/>
          <w:i w:val="0"/>
          <w:caps w:val="0"/>
          <w:color w:val="auto"/>
          <w:spacing w:val="0"/>
          <w:kern w:val="2"/>
          <w:sz w:val="32"/>
          <w:szCs w:val="32"/>
          <w:shd w:val="clear" w:color="auto" w:fill="FFFFFF"/>
          <w:lang w:val="en-US" w:eastAsia="zh-CN" w:bidi="ar-SA"/>
        </w:rPr>
        <w:t>（二）强化监督考核。</w:t>
      </w:r>
      <w:r>
        <w:rPr>
          <w:rFonts w:hint="eastAsia" w:ascii="方正仿宋_GBK" w:hAnsi="方正仿宋_GBK" w:eastAsia="方正仿宋_GBK" w:cs="方正仿宋_GBK"/>
          <w:b w:val="0"/>
          <w:bCs w:val="0"/>
          <w:i w:val="0"/>
          <w:caps w:val="0"/>
          <w:color w:val="auto"/>
          <w:spacing w:val="0"/>
          <w:kern w:val="0"/>
          <w:sz w:val="32"/>
          <w:szCs w:val="32"/>
          <w:shd w:val="clear" w:color="auto" w:fill="FFFFFF"/>
          <w:lang w:val="en-US" w:eastAsia="zh-CN" w:bidi="ar"/>
        </w:rPr>
        <w:t>严格“十四五”节能减排目标责任评价考核，强化考核结果运用，对工作成效显著的地区加强激励，对工作不力的地区加强督促指导，考核结果经自治区人民政府审定后，交由干部主管部门作为对盟行政公署、市人民政府领导班子和领导干部综合考核评价的重要依据。完善能耗双控考核措施，增加能耗强度降低约束性指标考核权重，加大对坚决遏制“两高”项目低水平盲目发展、推动能源资源优化配置措施、公共机构节能措施落实情况的考核力度，</w:t>
      </w:r>
      <w:r>
        <w:rPr>
          <w:rFonts w:hint="eastAsia" w:ascii="方正仿宋_GBK" w:hAnsi="方正仿宋_GBK" w:eastAsia="方正仿宋_GBK" w:cs="方正仿宋_GBK"/>
          <w:b w:val="0"/>
          <w:bCs w:val="0"/>
          <w:color w:val="auto"/>
          <w:kern w:val="0"/>
          <w:sz w:val="32"/>
          <w:szCs w:val="32"/>
          <w:u w:val="none"/>
          <w:lang w:val="en-US" w:eastAsia="zh-CN" w:bidi="ar"/>
        </w:rPr>
        <w:t>充分考虑市场“淡旺季”、用能“峰谷季”等，</w:t>
      </w:r>
      <w:r>
        <w:rPr>
          <w:rFonts w:hint="eastAsia" w:ascii="方正仿宋_GBK" w:hAnsi="方正仿宋_GBK" w:eastAsia="方正仿宋_GBK" w:cs="方正仿宋_GBK"/>
          <w:b w:val="0"/>
          <w:bCs w:val="0"/>
          <w:i w:val="0"/>
          <w:caps w:val="0"/>
          <w:color w:val="auto"/>
          <w:spacing w:val="0"/>
          <w:kern w:val="0"/>
          <w:sz w:val="32"/>
          <w:szCs w:val="32"/>
          <w:shd w:val="clear" w:color="auto" w:fill="FFFFFF"/>
          <w:lang w:val="en-US" w:eastAsia="zh-CN" w:bidi="ar"/>
        </w:rPr>
        <w:t>统筹目标完成进度、经济形势及跨周期因素，优化考核频次。将总量减排目标任务完成情况作为重要考核内容，压实减排工作责任。</w:t>
      </w:r>
      <w:r>
        <w:rPr>
          <w:rFonts w:hint="eastAsia" w:ascii="方正楷体_GBK" w:hAnsi="方正楷体_GBK" w:eastAsia="方正楷体_GBK" w:cs="方正楷体_GBK"/>
          <w:b w:val="0"/>
          <w:bCs w:val="0"/>
          <w:color w:val="auto"/>
          <w:kern w:val="2"/>
          <w:sz w:val="32"/>
          <w:szCs w:val="32"/>
          <w:lang w:val="en-US" w:eastAsia="zh-CN" w:bidi="ar-SA"/>
        </w:rPr>
        <w:t>（自治区发展改革委、生态环境厅牵头，自治区党委组织部等按职责分工负责）</w:t>
      </w:r>
    </w:p>
    <w:p>
      <w:pPr>
        <w:keepNext w:val="0"/>
        <w:keepLines w:val="0"/>
        <w:pageBreakBefore w:val="0"/>
        <w:widowControl w:val="0"/>
        <w:shd w:val="clear" w:color="auto" w:fill="auto"/>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rPr>
          <w:rFonts w:hint="eastAsia" w:ascii="方正楷体_GBK" w:hAnsi="方正楷体_GBK" w:eastAsia="方正楷体_GBK" w:cs="方正楷体_GBK"/>
          <w:b w:val="0"/>
          <w:bCs w:val="0"/>
          <w:color w:val="auto"/>
          <w:kern w:val="2"/>
          <w:sz w:val="32"/>
          <w:szCs w:val="32"/>
          <w:lang w:val="en-US" w:eastAsia="zh-CN" w:bidi="ar-SA"/>
        </w:rPr>
      </w:pPr>
      <w:r>
        <w:rPr>
          <w:rFonts w:hint="eastAsia" w:ascii="方正楷体_GBK" w:hAnsi="方正楷体_GBK" w:eastAsia="方正楷体_GBK" w:cs="方正楷体_GBK"/>
          <w:b w:val="0"/>
          <w:bCs w:val="0"/>
          <w:i w:val="0"/>
          <w:caps w:val="0"/>
          <w:color w:val="auto"/>
          <w:spacing w:val="0"/>
          <w:kern w:val="2"/>
          <w:sz w:val="32"/>
          <w:szCs w:val="32"/>
          <w:shd w:val="clear" w:color="auto" w:fill="FFFFFF"/>
          <w:lang w:val="en-US" w:eastAsia="zh-CN" w:bidi="ar-SA"/>
        </w:rPr>
        <w:t>（三）开展全民行动。</w:t>
      </w:r>
      <w:r>
        <w:rPr>
          <w:rFonts w:hint="eastAsia" w:ascii="方正仿宋_GBK" w:hAnsi="方正仿宋_GBK" w:eastAsia="方正仿宋_GBK" w:cs="方正仿宋_GBK"/>
          <w:b w:val="0"/>
          <w:bCs w:val="0"/>
          <w:i w:val="0"/>
          <w:caps w:val="0"/>
          <w:color w:val="auto"/>
          <w:spacing w:val="0"/>
          <w:kern w:val="0"/>
          <w:sz w:val="32"/>
          <w:szCs w:val="32"/>
          <w:shd w:val="clear" w:color="auto" w:fill="FFFFFF"/>
          <w:lang w:val="en-US" w:eastAsia="zh-CN" w:bidi="ar"/>
        </w:rPr>
        <w:t>在全社会开展绿色生活创建行动，倡导简约适度、绿色低碳、文明健康的生活方式，营造绿色低碳社会风尚。组织开展节能宣传周、低碳日、环境日等主题宣传活动，加强日常性节能减排宣传教育。积极培育绿色消费市场，引导消费者购买节能与新能源汽车、高效家电、节水型器具等绿色低碳产品，引导绿色消费理念。大力推广绿色低碳出行，倡导绿色生活和休闲模式。充分发挥行业协会、商业团体、公益组织作用，发展节能减排公益事业，鼓励公众参与节能减排公益活动。开展节能自愿承诺活动，引导公众自觉履行节能减排责任。</w:t>
      </w:r>
      <w:r>
        <w:rPr>
          <w:rFonts w:hint="eastAsia" w:ascii="方正楷体_GBK" w:hAnsi="方正楷体_GBK" w:eastAsia="方正楷体_GBK" w:cs="方正楷体_GBK"/>
          <w:b w:val="0"/>
          <w:bCs w:val="0"/>
          <w:color w:val="auto"/>
          <w:kern w:val="2"/>
          <w:sz w:val="32"/>
          <w:szCs w:val="32"/>
          <w:lang w:val="en-US" w:eastAsia="zh-CN" w:bidi="ar-SA"/>
        </w:rPr>
        <w:t>（自治区党委宣传部、发展改革委、科技厅、生态环境厅、机关事务管理局、妇联等按职责分工负责）</w:t>
      </w:r>
    </w:p>
    <w:p>
      <w:pPr>
        <w:keepNext w:val="0"/>
        <w:keepLines w:val="0"/>
        <w:pageBreakBefore w:val="0"/>
        <w:widowControl w:val="0"/>
        <w:shd w:val="clear" w:color="auto" w:fill="auto"/>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rPr>
          <w:rFonts w:hint="eastAsia" w:ascii="方正仿宋_GBK" w:hAnsi="方正仿宋_GBK" w:eastAsia="方正仿宋_GBK" w:cs="方正仿宋_GBK"/>
          <w:b w:val="0"/>
          <w:bCs w:val="0"/>
          <w:i w:val="0"/>
          <w:caps w:val="0"/>
          <w:color w:val="auto"/>
          <w:spacing w:val="0"/>
          <w:kern w:val="0"/>
          <w:sz w:val="32"/>
          <w:szCs w:val="32"/>
          <w:shd w:val="clear" w:color="auto" w:fill="FFFFFF"/>
          <w:lang w:val="en-US" w:eastAsia="zh-CN" w:bidi="ar"/>
        </w:rPr>
      </w:pPr>
    </w:p>
    <w:p>
      <w:pPr>
        <w:keepNext w:val="0"/>
        <w:keepLines w:val="0"/>
        <w:pageBreakBefore w:val="0"/>
        <w:widowControl w:val="0"/>
        <w:shd w:val="clear" w:color="auto" w:fill="auto"/>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rPr>
          <w:rFonts w:hint="eastAsia" w:ascii="方正仿宋_GBK" w:hAnsi="方正仿宋_GBK" w:eastAsia="方正仿宋_GBK" w:cs="方正仿宋_GBK"/>
          <w:b w:val="0"/>
          <w:bCs w:val="0"/>
          <w:i w:val="0"/>
          <w:caps w:val="0"/>
          <w:color w:val="auto"/>
          <w:spacing w:val="0"/>
          <w:kern w:val="0"/>
          <w:sz w:val="32"/>
          <w:szCs w:val="32"/>
          <w:shd w:val="clear" w:color="auto" w:fill="FFFFFF"/>
          <w:lang w:val="en-US" w:eastAsia="zh-CN" w:bidi="ar"/>
        </w:rPr>
      </w:pPr>
      <w:r>
        <w:rPr>
          <w:rFonts w:hint="eastAsia" w:ascii="方正仿宋_GBK" w:hAnsi="方正仿宋_GBK" w:eastAsia="方正仿宋_GBK" w:cs="方正仿宋_GBK"/>
          <w:b w:val="0"/>
          <w:bCs w:val="0"/>
          <w:i w:val="0"/>
          <w:caps w:val="0"/>
          <w:color w:val="auto"/>
          <w:spacing w:val="0"/>
          <w:kern w:val="0"/>
          <w:sz w:val="32"/>
          <w:szCs w:val="32"/>
          <w:shd w:val="clear" w:color="auto" w:fill="FFFFFF"/>
          <w:lang w:val="en-US" w:eastAsia="zh-CN" w:bidi="ar"/>
        </w:rPr>
        <w:t>附件：1.“十四五”各盟市能耗强度降低目标</w:t>
      </w:r>
    </w:p>
    <w:p>
      <w:pPr>
        <w:keepNext w:val="0"/>
        <w:keepLines w:val="0"/>
        <w:pageBreakBefore w:val="0"/>
        <w:widowControl w:val="0"/>
        <w:shd w:val="clear" w:color="auto" w:fill="auto"/>
        <w:suppressAutoHyphens/>
        <w:kinsoku/>
        <w:wordWrap/>
        <w:overflowPunct/>
        <w:topLinePunct/>
        <w:autoSpaceDE/>
        <w:autoSpaceDN/>
        <w:bidi w:val="0"/>
        <w:adjustRightInd/>
        <w:snapToGrid/>
        <w:spacing w:line="580" w:lineRule="exact"/>
        <w:ind w:left="0" w:leftChars="0" w:right="0" w:rightChars="0" w:firstLine="1600" w:firstLineChars="500"/>
        <w:jc w:val="both"/>
        <w:textAlignment w:val="auto"/>
        <w:rPr>
          <w:rFonts w:hint="eastAsia" w:ascii="方正仿宋_GBK" w:hAnsi="方正仿宋_GBK" w:eastAsia="方正仿宋_GBK" w:cs="方正仿宋_GBK"/>
          <w:b w:val="0"/>
          <w:bCs w:val="0"/>
          <w:i w:val="0"/>
          <w:caps w:val="0"/>
          <w:color w:val="auto"/>
          <w:spacing w:val="0"/>
          <w:kern w:val="0"/>
          <w:sz w:val="32"/>
          <w:szCs w:val="32"/>
          <w:shd w:val="clear" w:color="auto" w:fill="FFFFFF"/>
          <w:lang w:val="en-US" w:eastAsia="zh-CN" w:bidi="ar"/>
        </w:rPr>
      </w:pPr>
      <w:r>
        <w:rPr>
          <w:rFonts w:hint="eastAsia" w:ascii="方正仿宋_GBK" w:hAnsi="方正仿宋_GBK" w:eastAsia="方正仿宋_GBK" w:cs="方正仿宋_GBK"/>
          <w:b w:val="0"/>
          <w:bCs w:val="0"/>
          <w:i w:val="0"/>
          <w:caps w:val="0"/>
          <w:color w:val="auto"/>
          <w:spacing w:val="0"/>
          <w:kern w:val="0"/>
          <w:sz w:val="32"/>
          <w:szCs w:val="32"/>
          <w:shd w:val="clear" w:color="auto" w:fill="FFFFFF"/>
          <w:lang w:val="en-US" w:eastAsia="zh-CN" w:bidi="ar"/>
        </w:rPr>
        <w:t>2. 内蒙古自治区“十四五”主要行业节能指标</w:t>
      </w:r>
    </w:p>
    <w:p>
      <w:pPr>
        <w:keepNext w:val="0"/>
        <w:keepLines w:val="0"/>
        <w:pageBreakBefore w:val="0"/>
        <w:widowControl w:val="0"/>
        <w:shd w:val="clear" w:color="auto" w:fill="auto"/>
        <w:suppressAutoHyphens/>
        <w:kinsoku/>
        <w:wordWrap/>
        <w:overflowPunct/>
        <w:topLinePunct/>
        <w:autoSpaceDE/>
        <w:autoSpaceDN/>
        <w:bidi w:val="0"/>
        <w:adjustRightInd/>
        <w:snapToGrid/>
        <w:spacing w:line="580" w:lineRule="exact"/>
        <w:ind w:left="0" w:leftChars="0" w:right="0" w:rightChars="0"/>
        <w:jc w:val="both"/>
        <w:textAlignment w:val="auto"/>
        <w:rPr>
          <w:rFonts w:hint="eastAsia" w:ascii="方正黑体_GBK" w:hAnsi="方正黑体_GBK" w:eastAsia="方正黑体_GBK" w:cs="方正黑体_GBK"/>
          <w:color w:val="auto"/>
          <w:sz w:val="32"/>
          <w:szCs w:val="32"/>
          <w:lang w:val="en-US" w:eastAsia="zh-CN"/>
        </w:rPr>
      </w:pPr>
      <w:r>
        <w:rPr>
          <w:rFonts w:hint="eastAsia" w:ascii="方正仿宋_GBK" w:hAnsi="方正仿宋_GBK" w:eastAsia="方正仿宋_GBK" w:cs="方正仿宋_GBK"/>
          <w:b w:val="0"/>
          <w:bCs w:val="0"/>
          <w:i w:val="0"/>
          <w:caps w:val="0"/>
          <w:color w:val="auto"/>
          <w:spacing w:val="0"/>
          <w:kern w:val="0"/>
          <w:sz w:val="32"/>
          <w:szCs w:val="32"/>
          <w:shd w:val="clear" w:color="auto" w:fill="FFFFFF"/>
          <w:lang w:val="en-US" w:eastAsia="zh-CN" w:bidi="ar"/>
        </w:rPr>
        <w:br w:type="page"/>
      </w:r>
      <w:r>
        <w:rPr>
          <w:rFonts w:hint="eastAsia" w:ascii="方正黑体_GBK" w:hAnsi="方正黑体_GBK" w:eastAsia="方正黑体_GBK" w:cs="方正黑体_GBK"/>
          <w:color w:val="auto"/>
          <w:sz w:val="32"/>
          <w:szCs w:val="32"/>
          <w:lang w:eastAsia="zh-CN"/>
        </w:rPr>
        <w:t>附件</w:t>
      </w:r>
      <w:r>
        <w:rPr>
          <w:rFonts w:hint="eastAsia" w:ascii="方正黑体_GBK" w:hAnsi="方正黑体_GBK" w:eastAsia="方正黑体_GBK" w:cs="方正黑体_GBK"/>
          <w:color w:val="auto"/>
          <w:sz w:val="32"/>
          <w:szCs w:val="32"/>
          <w:lang w:val="en-US" w:eastAsia="zh-CN"/>
        </w:rPr>
        <w:t>1</w:t>
      </w: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80" w:lineRule="exact"/>
        <w:ind w:left="0" w:leftChars="0" w:right="0" w:rightChars="0" w:firstLine="720" w:firstLineChars="200"/>
        <w:jc w:val="both"/>
        <w:textAlignment w:val="auto"/>
        <w:rPr>
          <w:rFonts w:hint="default" w:ascii="Times New Roman" w:hAnsi="Times New Roman" w:eastAsia="方正仿宋_GBK" w:cs="Times New Roman"/>
          <w:i w:val="0"/>
          <w:caps w:val="0"/>
          <w:color w:val="auto"/>
          <w:spacing w:val="0"/>
          <w:sz w:val="36"/>
          <w:szCs w:val="36"/>
          <w:shd w:val="clear" w:color="auto" w:fill="FFFFFF"/>
          <w:lang w:val="en-US" w:eastAsia="zh-CN"/>
        </w:rPr>
      </w:pP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80" w:lineRule="exact"/>
        <w:ind w:right="0" w:rightChars="0"/>
        <w:jc w:val="center"/>
        <w:textAlignment w:val="auto"/>
        <w:rPr>
          <w:rFonts w:hint="eastAsia" w:ascii="方正小标宋简体" w:hAnsi="方正小标宋简体" w:eastAsia="方正小标宋简体" w:cs="方正小标宋简体"/>
          <w:i w:val="0"/>
          <w:caps w:val="0"/>
          <w:color w:val="auto"/>
          <w:spacing w:val="0"/>
          <w:sz w:val="44"/>
          <w:szCs w:val="44"/>
          <w:shd w:val="clear" w:color="auto" w:fill="FFFFFF"/>
          <w:lang w:val="en-US" w:eastAsia="zh-CN"/>
        </w:rPr>
      </w:pPr>
      <w:r>
        <w:rPr>
          <w:rFonts w:hint="eastAsia" w:ascii="方正小标宋简体" w:hAnsi="方正小标宋简体" w:eastAsia="方正小标宋简体" w:cs="方正小标宋简体"/>
          <w:i w:val="0"/>
          <w:caps w:val="0"/>
          <w:color w:val="auto"/>
          <w:spacing w:val="0"/>
          <w:sz w:val="44"/>
          <w:szCs w:val="44"/>
          <w:shd w:val="clear" w:color="auto" w:fill="FFFFFF"/>
          <w:lang w:val="en-US" w:eastAsia="zh-CN"/>
        </w:rPr>
        <w:t>“十四五”各盟市能耗强度降低目标</w:t>
      </w:r>
    </w:p>
    <w:tbl>
      <w:tblPr>
        <w:tblStyle w:val="13"/>
        <w:tblpPr w:leftFromText="180" w:rightFromText="180" w:vertAnchor="text" w:horzAnchor="page" w:tblpX="1656" w:tblpY="422"/>
        <w:tblOverlap w:val="never"/>
        <w:tblW w:w="90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7"/>
        <w:gridCol w:w="3321"/>
        <w:gridCol w:w="3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5" w:hRule="atLeast"/>
          <w:jc w:val="center"/>
        </w:trPr>
        <w:tc>
          <w:tcPr>
            <w:tcW w:w="2277" w:type="dxa"/>
            <w:noWrap w:val="0"/>
            <w:vAlign w:val="center"/>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360" w:lineRule="exact"/>
              <w:ind w:right="0" w:rightChars="0"/>
              <w:jc w:val="center"/>
              <w:textAlignment w:val="auto"/>
              <w:rPr>
                <w:rFonts w:hint="eastAsia" w:ascii="黑体" w:hAnsi="黑体" w:eastAsia="黑体" w:cs="黑体"/>
                <w:i w:val="0"/>
                <w:caps w:val="0"/>
                <w:color w:val="auto"/>
                <w:spacing w:val="0"/>
                <w:sz w:val="28"/>
                <w:szCs w:val="28"/>
                <w:shd w:val="clear" w:color="auto" w:fill="FFFFFF"/>
                <w:vertAlign w:val="baseline"/>
                <w:lang w:val="en-US" w:eastAsia="zh-CN"/>
              </w:rPr>
            </w:pPr>
            <w:r>
              <w:rPr>
                <w:rFonts w:hint="eastAsia" w:ascii="黑体" w:hAnsi="黑体" w:eastAsia="黑体" w:cs="黑体"/>
                <w:i w:val="0"/>
                <w:caps w:val="0"/>
                <w:color w:val="auto"/>
                <w:spacing w:val="0"/>
                <w:sz w:val="28"/>
                <w:szCs w:val="28"/>
                <w:shd w:val="clear" w:color="auto" w:fill="FFFFFF"/>
                <w:vertAlign w:val="baseline"/>
                <w:lang w:val="en-US" w:eastAsia="zh-CN"/>
              </w:rPr>
              <w:t>地    区</w:t>
            </w:r>
          </w:p>
        </w:tc>
        <w:tc>
          <w:tcPr>
            <w:tcW w:w="3321" w:type="dxa"/>
            <w:noWrap w:val="0"/>
            <w:vAlign w:val="center"/>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360" w:lineRule="exact"/>
              <w:ind w:right="0" w:rightChars="0"/>
              <w:jc w:val="center"/>
              <w:textAlignment w:val="auto"/>
              <w:rPr>
                <w:rFonts w:hint="eastAsia" w:ascii="黑体" w:hAnsi="黑体" w:eastAsia="黑体" w:cs="黑体"/>
                <w:i w:val="0"/>
                <w:caps w:val="0"/>
                <w:color w:val="auto"/>
                <w:spacing w:val="0"/>
                <w:sz w:val="28"/>
                <w:szCs w:val="28"/>
                <w:shd w:val="clear" w:color="auto" w:fill="FFFFFF"/>
                <w:vertAlign w:val="baseline"/>
                <w:lang w:val="en-US" w:eastAsia="zh-CN"/>
              </w:rPr>
            </w:pPr>
            <w:r>
              <w:rPr>
                <w:rFonts w:hint="eastAsia" w:ascii="黑体" w:hAnsi="黑体" w:eastAsia="黑体" w:cs="黑体"/>
                <w:i w:val="0"/>
                <w:caps w:val="0"/>
                <w:color w:val="auto"/>
                <w:spacing w:val="0"/>
                <w:sz w:val="28"/>
                <w:szCs w:val="28"/>
                <w:shd w:val="clear" w:color="auto" w:fill="FFFFFF"/>
                <w:vertAlign w:val="baseline"/>
                <w:lang w:val="en-US" w:eastAsia="zh-CN"/>
              </w:rPr>
              <w:t>能耗强度降低</w:t>
            </w: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360" w:lineRule="exact"/>
              <w:ind w:right="0" w:rightChars="0"/>
              <w:jc w:val="center"/>
              <w:textAlignment w:val="auto"/>
              <w:rPr>
                <w:rFonts w:hint="eastAsia" w:ascii="黑体" w:hAnsi="黑体" w:eastAsia="黑体" w:cs="黑体"/>
                <w:i w:val="0"/>
                <w:caps w:val="0"/>
                <w:color w:val="auto"/>
                <w:spacing w:val="0"/>
                <w:sz w:val="28"/>
                <w:szCs w:val="28"/>
                <w:shd w:val="clear" w:color="auto" w:fill="FFFFFF"/>
                <w:vertAlign w:val="baseline"/>
                <w:lang w:val="en-US" w:eastAsia="zh-CN"/>
              </w:rPr>
            </w:pPr>
            <w:r>
              <w:rPr>
                <w:rFonts w:hint="eastAsia" w:ascii="黑体" w:hAnsi="黑体" w:eastAsia="黑体" w:cs="黑体"/>
                <w:i w:val="0"/>
                <w:caps w:val="0"/>
                <w:color w:val="auto"/>
                <w:spacing w:val="0"/>
                <w:sz w:val="28"/>
                <w:szCs w:val="28"/>
                <w:shd w:val="clear" w:color="auto" w:fill="FFFFFF"/>
                <w:vertAlign w:val="baseline"/>
                <w:lang w:val="en-US" w:eastAsia="zh-CN"/>
              </w:rPr>
              <w:t>基本目标（%）</w:t>
            </w:r>
          </w:p>
        </w:tc>
        <w:tc>
          <w:tcPr>
            <w:tcW w:w="3459" w:type="dxa"/>
            <w:noWrap w:val="0"/>
            <w:vAlign w:val="center"/>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360" w:lineRule="exact"/>
              <w:ind w:right="0" w:rightChars="0"/>
              <w:jc w:val="center"/>
              <w:textAlignment w:val="auto"/>
              <w:rPr>
                <w:rFonts w:hint="eastAsia" w:ascii="黑体" w:hAnsi="黑体" w:eastAsia="黑体" w:cs="黑体"/>
                <w:i w:val="0"/>
                <w:caps w:val="0"/>
                <w:color w:val="auto"/>
                <w:spacing w:val="0"/>
                <w:sz w:val="28"/>
                <w:szCs w:val="28"/>
                <w:shd w:val="clear" w:color="auto" w:fill="FFFFFF"/>
                <w:vertAlign w:val="baseline"/>
                <w:lang w:val="en-US" w:eastAsia="zh-CN"/>
              </w:rPr>
            </w:pPr>
            <w:r>
              <w:rPr>
                <w:rFonts w:hint="eastAsia" w:ascii="黑体" w:hAnsi="黑体" w:eastAsia="黑体" w:cs="黑体"/>
                <w:i w:val="0"/>
                <w:caps w:val="0"/>
                <w:color w:val="auto"/>
                <w:spacing w:val="0"/>
                <w:sz w:val="28"/>
                <w:szCs w:val="28"/>
                <w:shd w:val="clear" w:color="auto" w:fill="FFFFFF"/>
                <w:vertAlign w:val="baseline"/>
                <w:lang w:val="en-US" w:eastAsia="zh-CN"/>
              </w:rPr>
              <w:t>能耗强度降低</w:t>
            </w: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360" w:lineRule="exact"/>
              <w:ind w:right="0" w:rightChars="0"/>
              <w:jc w:val="center"/>
              <w:textAlignment w:val="auto"/>
              <w:rPr>
                <w:rFonts w:hint="eastAsia" w:ascii="黑体" w:hAnsi="黑体" w:eastAsia="黑体" w:cs="黑体"/>
                <w:i w:val="0"/>
                <w:caps w:val="0"/>
                <w:color w:val="auto"/>
                <w:spacing w:val="0"/>
                <w:sz w:val="28"/>
                <w:szCs w:val="28"/>
                <w:shd w:val="clear" w:color="auto" w:fill="FFFFFF"/>
                <w:vertAlign w:val="baseline"/>
                <w:lang w:val="en-US" w:eastAsia="zh-CN"/>
              </w:rPr>
            </w:pPr>
            <w:r>
              <w:rPr>
                <w:rFonts w:hint="eastAsia" w:ascii="黑体" w:hAnsi="黑体" w:eastAsia="黑体" w:cs="黑体"/>
                <w:i w:val="0"/>
                <w:caps w:val="0"/>
                <w:color w:val="auto"/>
                <w:spacing w:val="0"/>
                <w:sz w:val="28"/>
                <w:szCs w:val="28"/>
                <w:shd w:val="clear" w:color="auto" w:fill="FFFFFF"/>
                <w:vertAlign w:val="baseline"/>
                <w:lang w:val="en-US" w:eastAsia="zh-CN"/>
              </w:rPr>
              <w:t>激励目标（%）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277" w:type="dxa"/>
            <w:noWrap w:val="0"/>
            <w:vAlign w:val="center"/>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360" w:lineRule="exact"/>
              <w:ind w:right="0" w:rightChars="0"/>
              <w:jc w:val="center"/>
              <w:textAlignment w:val="auto"/>
              <w:rPr>
                <w:rFonts w:hint="eastAsia" w:ascii="方正仿宋_GBK" w:hAnsi="方正仿宋_GBK" w:eastAsia="方正仿宋_GBK" w:cs="方正仿宋_GBK"/>
                <w:i w:val="0"/>
                <w:caps w:val="0"/>
                <w:color w:val="auto"/>
                <w:spacing w:val="0"/>
                <w:sz w:val="28"/>
                <w:szCs w:val="28"/>
                <w:shd w:val="clear" w:color="auto" w:fill="FFFFFF"/>
                <w:vertAlign w:val="baseline"/>
                <w:lang w:val="en-US" w:eastAsia="zh-CN"/>
              </w:rPr>
            </w:pPr>
            <w:r>
              <w:rPr>
                <w:rFonts w:hint="eastAsia" w:ascii="方正仿宋_GBK" w:hAnsi="方正仿宋_GBK" w:eastAsia="方正仿宋_GBK" w:cs="方正仿宋_GBK"/>
                <w:i w:val="0"/>
                <w:caps w:val="0"/>
                <w:color w:val="auto"/>
                <w:spacing w:val="0"/>
                <w:sz w:val="28"/>
                <w:szCs w:val="28"/>
                <w:shd w:val="clear" w:color="auto" w:fill="FFFFFF"/>
                <w:vertAlign w:val="baseline"/>
                <w:lang w:val="en-US" w:eastAsia="zh-CN"/>
              </w:rPr>
              <w:t>呼和浩特市</w:t>
            </w:r>
          </w:p>
        </w:tc>
        <w:tc>
          <w:tcPr>
            <w:tcW w:w="3321" w:type="dxa"/>
            <w:noWrap w:val="0"/>
            <w:vAlign w:val="center"/>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360" w:lineRule="exact"/>
              <w:ind w:right="0" w:rightChars="0"/>
              <w:jc w:val="center"/>
              <w:textAlignment w:val="auto"/>
              <w:rPr>
                <w:rFonts w:hint="eastAsia" w:ascii="方正仿宋_GBK" w:hAnsi="方正仿宋_GBK" w:eastAsia="方正仿宋_GBK" w:cs="方正仿宋_GBK"/>
                <w:i w:val="0"/>
                <w:caps w:val="0"/>
                <w:color w:val="auto"/>
                <w:spacing w:val="0"/>
                <w:sz w:val="28"/>
                <w:szCs w:val="28"/>
                <w:shd w:val="clear" w:color="auto" w:fill="FFFFFF"/>
                <w:vertAlign w:val="baseline"/>
                <w:lang w:val="en-US" w:eastAsia="zh-CN"/>
              </w:rPr>
            </w:pPr>
            <w:r>
              <w:rPr>
                <w:rFonts w:hint="eastAsia" w:ascii="方正仿宋_GBK" w:hAnsi="方正仿宋_GBK" w:eastAsia="方正仿宋_GBK" w:cs="方正仿宋_GBK"/>
                <w:i w:val="0"/>
                <w:caps w:val="0"/>
                <w:color w:val="auto"/>
                <w:spacing w:val="0"/>
                <w:sz w:val="28"/>
                <w:szCs w:val="28"/>
                <w:shd w:val="clear" w:color="auto" w:fill="FFFFFF"/>
                <w:vertAlign w:val="baseline"/>
                <w:lang w:val="en-US" w:eastAsia="zh-CN"/>
              </w:rPr>
              <w:t>12</w:t>
            </w:r>
          </w:p>
        </w:tc>
        <w:tc>
          <w:tcPr>
            <w:tcW w:w="3459" w:type="dxa"/>
            <w:noWrap w:val="0"/>
            <w:vAlign w:val="center"/>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360" w:lineRule="exact"/>
              <w:ind w:right="0" w:rightChars="0"/>
              <w:jc w:val="center"/>
              <w:textAlignment w:val="auto"/>
              <w:rPr>
                <w:rFonts w:hint="eastAsia" w:ascii="方正仿宋_GBK" w:hAnsi="方正仿宋_GBK" w:eastAsia="方正仿宋_GBK" w:cs="方正仿宋_GBK"/>
                <w:i w:val="0"/>
                <w:caps w:val="0"/>
                <w:color w:val="auto"/>
                <w:spacing w:val="0"/>
                <w:sz w:val="28"/>
                <w:szCs w:val="28"/>
                <w:shd w:val="clear" w:color="auto" w:fill="FFFFFF"/>
                <w:vertAlign w:val="baseline"/>
                <w:lang w:val="en-US" w:eastAsia="zh-CN"/>
              </w:rPr>
            </w:pPr>
            <w:r>
              <w:rPr>
                <w:rFonts w:hint="eastAsia" w:ascii="方正仿宋_GBK" w:hAnsi="方正仿宋_GBK" w:eastAsia="方正仿宋_GBK" w:cs="方正仿宋_GBK"/>
                <w:i w:val="0"/>
                <w:caps w:val="0"/>
                <w:color w:val="auto"/>
                <w:spacing w:val="0"/>
                <w:sz w:val="28"/>
                <w:szCs w:val="28"/>
                <w:shd w:val="clear" w:color="auto" w:fill="FFFFFF"/>
                <w:vertAlign w:val="baseline"/>
                <w:lang w:val="en-US" w:eastAsia="zh-CN"/>
              </w:rPr>
              <w:t>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277" w:type="dxa"/>
            <w:noWrap w:val="0"/>
            <w:vAlign w:val="center"/>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360" w:lineRule="exact"/>
              <w:ind w:right="0" w:rightChars="0"/>
              <w:jc w:val="center"/>
              <w:textAlignment w:val="auto"/>
              <w:rPr>
                <w:rFonts w:hint="eastAsia" w:ascii="方正仿宋_GBK" w:hAnsi="方正仿宋_GBK" w:eastAsia="方正仿宋_GBK" w:cs="方正仿宋_GBK"/>
                <w:i w:val="0"/>
                <w:caps w:val="0"/>
                <w:color w:val="auto"/>
                <w:spacing w:val="0"/>
                <w:sz w:val="28"/>
                <w:szCs w:val="28"/>
                <w:shd w:val="clear" w:color="auto" w:fill="FFFFFF"/>
                <w:vertAlign w:val="baseline"/>
                <w:lang w:val="en-US" w:eastAsia="zh-CN"/>
              </w:rPr>
            </w:pPr>
            <w:r>
              <w:rPr>
                <w:rFonts w:hint="eastAsia" w:ascii="方正仿宋_GBK" w:hAnsi="方正仿宋_GBK" w:eastAsia="方正仿宋_GBK" w:cs="方正仿宋_GBK"/>
                <w:i w:val="0"/>
                <w:caps w:val="0"/>
                <w:color w:val="auto"/>
                <w:spacing w:val="0"/>
                <w:sz w:val="28"/>
                <w:szCs w:val="28"/>
                <w:shd w:val="clear" w:color="auto" w:fill="FFFFFF"/>
                <w:vertAlign w:val="baseline"/>
                <w:lang w:val="en-US" w:eastAsia="zh-CN"/>
              </w:rPr>
              <w:t>包  头  市</w:t>
            </w:r>
          </w:p>
        </w:tc>
        <w:tc>
          <w:tcPr>
            <w:tcW w:w="3321" w:type="dxa"/>
            <w:noWrap w:val="0"/>
            <w:vAlign w:val="center"/>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360" w:lineRule="exact"/>
              <w:ind w:right="0" w:rightChars="0"/>
              <w:jc w:val="center"/>
              <w:textAlignment w:val="auto"/>
              <w:rPr>
                <w:rFonts w:hint="eastAsia" w:ascii="方正仿宋_GBK" w:hAnsi="方正仿宋_GBK" w:eastAsia="方正仿宋_GBK" w:cs="方正仿宋_GBK"/>
                <w:i w:val="0"/>
                <w:caps w:val="0"/>
                <w:color w:val="auto"/>
                <w:spacing w:val="0"/>
                <w:sz w:val="28"/>
                <w:szCs w:val="28"/>
                <w:shd w:val="clear" w:color="auto" w:fill="FFFFFF"/>
                <w:vertAlign w:val="baseline"/>
                <w:lang w:val="en-US" w:eastAsia="zh-CN"/>
              </w:rPr>
            </w:pPr>
            <w:r>
              <w:rPr>
                <w:rFonts w:hint="eastAsia" w:ascii="方正仿宋_GBK" w:hAnsi="方正仿宋_GBK" w:eastAsia="方正仿宋_GBK" w:cs="方正仿宋_GBK"/>
                <w:i w:val="0"/>
                <w:caps w:val="0"/>
                <w:color w:val="auto"/>
                <w:spacing w:val="0"/>
                <w:sz w:val="28"/>
                <w:szCs w:val="28"/>
                <w:shd w:val="clear" w:color="auto" w:fill="FFFFFF"/>
                <w:vertAlign w:val="baseline"/>
                <w:lang w:val="en-US" w:eastAsia="zh-CN"/>
              </w:rPr>
              <w:t>16.5</w:t>
            </w:r>
          </w:p>
        </w:tc>
        <w:tc>
          <w:tcPr>
            <w:tcW w:w="3459" w:type="dxa"/>
            <w:noWrap w:val="0"/>
            <w:vAlign w:val="center"/>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360" w:lineRule="exact"/>
              <w:ind w:right="0" w:rightChars="0"/>
              <w:jc w:val="center"/>
              <w:textAlignment w:val="auto"/>
              <w:rPr>
                <w:rFonts w:hint="eastAsia" w:ascii="方正仿宋_GBK" w:hAnsi="方正仿宋_GBK" w:eastAsia="方正仿宋_GBK" w:cs="方正仿宋_GBK"/>
                <w:i w:val="0"/>
                <w:caps w:val="0"/>
                <w:color w:val="auto"/>
                <w:spacing w:val="0"/>
                <w:sz w:val="28"/>
                <w:szCs w:val="28"/>
                <w:shd w:val="clear" w:color="auto" w:fill="FFFFFF"/>
                <w:vertAlign w:val="baseline"/>
                <w:lang w:val="en-US" w:eastAsia="zh-CN"/>
              </w:rPr>
            </w:pPr>
            <w:r>
              <w:rPr>
                <w:rFonts w:hint="eastAsia" w:ascii="方正仿宋_GBK" w:hAnsi="方正仿宋_GBK" w:eastAsia="方正仿宋_GBK" w:cs="方正仿宋_GBK"/>
                <w:i w:val="0"/>
                <w:caps w:val="0"/>
                <w:color w:val="auto"/>
                <w:spacing w:val="0"/>
                <w:sz w:val="28"/>
                <w:szCs w:val="28"/>
                <w:shd w:val="clear" w:color="auto" w:fill="FFFFFF"/>
                <w:vertAlign w:val="baseline"/>
                <w:lang w:val="en-US" w:eastAsia="zh-CN"/>
              </w:rPr>
              <w:t>18.7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277" w:type="dxa"/>
            <w:noWrap w:val="0"/>
            <w:vAlign w:val="center"/>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360" w:lineRule="exact"/>
              <w:ind w:right="0" w:rightChars="0"/>
              <w:jc w:val="center"/>
              <w:textAlignment w:val="auto"/>
              <w:rPr>
                <w:rFonts w:hint="eastAsia" w:ascii="方正仿宋_GBK" w:hAnsi="方正仿宋_GBK" w:eastAsia="方正仿宋_GBK" w:cs="方正仿宋_GBK"/>
                <w:i w:val="0"/>
                <w:caps w:val="0"/>
                <w:color w:val="auto"/>
                <w:spacing w:val="0"/>
                <w:sz w:val="28"/>
                <w:szCs w:val="28"/>
                <w:shd w:val="clear" w:color="auto" w:fill="FFFFFF"/>
                <w:vertAlign w:val="baseline"/>
                <w:lang w:val="en-US" w:eastAsia="zh-CN"/>
              </w:rPr>
            </w:pPr>
            <w:r>
              <w:rPr>
                <w:rFonts w:hint="eastAsia" w:ascii="方正仿宋_GBK" w:hAnsi="方正仿宋_GBK" w:eastAsia="方正仿宋_GBK" w:cs="方正仿宋_GBK"/>
                <w:i w:val="0"/>
                <w:caps w:val="0"/>
                <w:color w:val="auto"/>
                <w:spacing w:val="0"/>
                <w:sz w:val="28"/>
                <w:szCs w:val="28"/>
                <w:shd w:val="clear" w:color="auto" w:fill="FFFFFF"/>
                <w:vertAlign w:val="baseline"/>
                <w:lang w:val="en-US" w:eastAsia="zh-CN"/>
              </w:rPr>
              <w:t>呼伦贝尔市</w:t>
            </w:r>
          </w:p>
        </w:tc>
        <w:tc>
          <w:tcPr>
            <w:tcW w:w="3321" w:type="dxa"/>
            <w:noWrap w:val="0"/>
            <w:vAlign w:val="center"/>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360" w:lineRule="exact"/>
              <w:ind w:right="0" w:rightChars="0"/>
              <w:jc w:val="center"/>
              <w:textAlignment w:val="auto"/>
              <w:rPr>
                <w:rFonts w:hint="eastAsia" w:ascii="方正仿宋_GBK" w:hAnsi="方正仿宋_GBK" w:eastAsia="方正仿宋_GBK" w:cs="方正仿宋_GBK"/>
                <w:i w:val="0"/>
                <w:caps w:val="0"/>
                <w:color w:val="auto"/>
                <w:spacing w:val="0"/>
                <w:sz w:val="28"/>
                <w:szCs w:val="28"/>
                <w:shd w:val="clear" w:color="auto" w:fill="FFFFFF"/>
                <w:vertAlign w:val="baseline"/>
                <w:lang w:val="en-US" w:eastAsia="zh-CN"/>
              </w:rPr>
            </w:pPr>
            <w:r>
              <w:rPr>
                <w:rFonts w:hint="eastAsia" w:ascii="方正仿宋_GBK" w:hAnsi="方正仿宋_GBK" w:eastAsia="方正仿宋_GBK" w:cs="方正仿宋_GBK"/>
                <w:i w:val="0"/>
                <w:caps w:val="0"/>
                <w:color w:val="auto"/>
                <w:spacing w:val="0"/>
                <w:sz w:val="28"/>
                <w:szCs w:val="28"/>
                <w:shd w:val="clear" w:color="auto" w:fill="FFFFFF"/>
                <w:vertAlign w:val="baseline"/>
                <w:lang w:val="en-US" w:eastAsia="zh-CN"/>
              </w:rPr>
              <w:t>14</w:t>
            </w:r>
          </w:p>
        </w:tc>
        <w:tc>
          <w:tcPr>
            <w:tcW w:w="3459" w:type="dxa"/>
            <w:noWrap w:val="0"/>
            <w:vAlign w:val="center"/>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360" w:lineRule="exact"/>
              <w:ind w:right="0" w:rightChars="0"/>
              <w:jc w:val="center"/>
              <w:textAlignment w:val="auto"/>
              <w:rPr>
                <w:rFonts w:hint="eastAsia" w:ascii="方正仿宋_GBK" w:hAnsi="方正仿宋_GBK" w:eastAsia="方正仿宋_GBK" w:cs="方正仿宋_GBK"/>
                <w:i w:val="0"/>
                <w:caps w:val="0"/>
                <w:color w:val="auto"/>
                <w:spacing w:val="0"/>
                <w:sz w:val="28"/>
                <w:szCs w:val="28"/>
                <w:shd w:val="clear" w:color="auto" w:fill="FFFFFF"/>
                <w:vertAlign w:val="baseline"/>
                <w:lang w:val="en-US" w:eastAsia="zh-CN"/>
              </w:rPr>
            </w:pPr>
            <w:r>
              <w:rPr>
                <w:rFonts w:hint="eastAsia" w:ascii="方正仿宋_GBK" w:hAnsi="方正仿宋_GBK" w:eastAsia="方正仿宋_GBK" w:cs="方正仿宋_GBK"/>
                <w:i w:val="0"/>
                <w:caps w:val="0"/>
                <w:color w:val="auto"/>
                <w:spacing w:val="0"/>
                <w:sz w:val="28"/>
                <w:szCs w:val="28"/>
                <w:shd w:val="clear" w:color="auto" w:fill="FFFFFF"/>
                <w:vertAlign w:val="baseline"/>
                <w:lang w:val="en-US" w:eastAsia="zh-CN"/>
              </w:rPr>
              <w:t>15.9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277" w:type="dxa"/>
            <w:noWrap w:val="0"/>
            <w:vAlign w:val="center"/>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360" w:lineRule="exact"/>
              <w:ind w:right="0" w:rightChars="0"/>
              <w:jc w:val="center"/>
              <w:textAlignment w:val="auto"/>
              <w:rPr>
                <w:rFonts w:hint="eastAsia" w:ascii="方正仿宋_GBK" w:hAnsi="方正仿宋_GBK" w:eastAsia="方正仿宋_GBK" w:cs="方正仿宋_GBK"/>
                <w:i w:val="0"/>
                <w:caps w:val="0"/>
                <w:color w:val="auto"/>
                <w:spacing w:val="0"/>
                <w:sz w:val="28"/>
                <w:szCs w:val="28"/>
                <w:shd w:val="clear" w:color="auto" w:fill="FFFFFF"/>
                <w:vertAlign w:val="baseline"/>
                <w:lang w:val="en-US" w:eastAsia="zh-CN"/>
              </w:rPr>
            </w:pPr>
            <w:r>
              <w:rPr>
                <w:rFonts w:hint="eastAsia" w:ascii="方正仿宋_GBK" w:hAnsi="方正仿宋_GBK" w:eastAsia="方正仿宋_GBK" w:cs="方正仿宋_GBK"/>
                <w:i w:val="0"/>
                <w:caps w:val="0"/>
                <w:color w:val="auto"/>
                <w:spacing w:val="0"/>
                <w:sz w:val="28"/>
                <w:szCs w:val="28"/>
                <w:shd w:val="clear" w:color="auto" w:fill="FFFFFF"/>
                <w:vertAlign w:val="baseline"/>
                <w:lang w:val="en-US" w:eastAsia="zh-CN"/>
              </w:rPr>
              <w:t>兴  安  盟</w:t>
            </w:r>
          </w:p>
        </w:tc>
        <w:tc>
          <w:tcPr>
            <w:tcW w:w="3321" w:type="dxa"/>
            <w:noWrap w:val="0"/>
            <w:vAlign w:val="center"/>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360" w:lineRule="exact"/>
              <w:ind w:right="0" w:rightChars="0"/>
              <w:jc w:val="center"/>
              <w:textAlignment w:val="auto"/>
              <w:rPr>
                <w:rFonts w:hint="eastAsia" w:ascii="方正仿宋_GBK" w:hAnsi="方正仿宋_GBK" w:eastAsia="方正仿宋_GBK" w:cs="方正仿宋_GBK"/>
                <w:i w:val="0"/>
                <w:caps w:val="0"/>
                <w:color w:val="auto"/>
                <w:spacing w:val="0"/>
                <w:sz w:val="28"/>
                <w:szCs w:val="28"/>
                <w:shd w:val="clear" w:color="auto" w:fill="FFFFFF"/>
                <w:vertAlign w:val="baseline"/>
                <w:lang w:val="en-US" w:eastAsia="zh-CN"/>
              </w:rPr>
            </w:pPr>
            <w:r>
              <w:rPr>
                <w:rFonts w:hint="eastAsia" w:ascii="方正仿宋_GBK" w:hAnsi="方正仿宋_GBK" w:eastAsia="方正仿宋_GBK" w:cs="方正仿宋_GBK"/>
                <w:i w:val="0"/>
                <w:caps w:val="0"/>
                <w:color w:val="auto"/>
                <w:spacing w:val="0"/>
                <w:sz w:val="28"/>
                <w:szCs w:val="28"/>
                <w:shd w:val="clear" w:color="auto" w:fill="FFFFFF"/>
                <w:vertAlign w:val="baseline"/>
                <w:lang w:val="en-US" w:eastAsia="zh-CN"/>
              </w:rPr>
              <w:t>12</w:t>
            </w:r>
          </w:p>
        </w:tc>
        <w:tc>
          <w:tcPr>
            <w:tcW w:w="3459" w:type="dxa"/>
            <w:noWrap w:val="0"/>
            <w:vAlign w:val="center"/>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360" w:lineRule="exact"/>
              <w:ind w:right="0" w:rightChars="0"/>
              <w:jc w:val="center"/>
              <w:textAlignment w:val="auto"/>
              <w:rPr>
                <w:rFonts w:hint="eastAsia" w:ascii="方正仿宋_GBK" w:hAnsi="方正仿宋_GBK" w:eastAsia="方正仿宋_GBK" w:cs="方正仿宋_GBK"/>
                <w:i w:val="0"/>
                <w:caps w:val="0"/>
                <w:color w:val="auto"/>
                <w:spacing w:val="0"/>
                <w:sz w:val="28"/>
                <w:szCs w:val="28"/>
                <w:shd w:val="clear" w:color="auto" w:fill="FFFFFF"/>
                <w:vertAlign w:val="baseline"/>
                <w:lang w:val="en-US" w:eastAsia="zh-CN"/>
              </w:rPr>
            </w:pPr>
            <w:r>
              <w:rPr>
                <w:rFonts w:hint="eastAsia" w:ascii="方正仿宋_GBK" w:hAnsi="方正仿宋_GBK" w:eastAsia="方正仿宋_GBK" w:cs="方正仿宋_GBK"/>
                <w:i w:val="0"/>
                <w:caps w:val="0"/>
                <w:color w:val="auto"/>
                <w:spacing w:val="0"/>
                <w:sz w:val="28"/>
                <w:szCs w:val="28"/>
                <w:shd w:val="clear" w:color="auto" w:fill="FFFFFF"/>
                <w:vertAlign w:val="baseline"/>
                <w:lang w:val="en-US" w:eastAsia="zh-CN"/>
              </w:rPr>
              <w:t>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277" w:type="dxa"/>
            <w:noWrap w:val="0"/>
            <w:vAlign w:val="center"/>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360" w:lineRule="exact"/>
              <w:ind w:right="0" w:rightChars="0"/>
              <w:jc w:val="center"/>
              <w:textAlignment w:val="auto"/>
              <w:rPr>
                <w:rFonts w:hint="eastAsia" w:ascii="方正仿宋_GBK" w:hAnsi="方正仿宋_GBK" w:eastAsia="方正仿宋_GBK" w:cs="方正仿宋_GBK"/>
                <w:i w:val="0"/>
                <w:caps w:val="0"/>
                <w:color w:val="auto"/>
                <w:spacing w:val="0"/>
                <w:sz w:val="28"/>
                <w:szCs w:val="28"/>
                <w:shd w:val="clear" w:color="auto" w:fill="FFFFFF"/>
                <w:vertAlign w:val="baseline"/>
                <w:lang w:val="en-US" w:eastAsia="zh-CN"/>
              </w:rPr>
            </w:pPr>
            <w:r>
              <w:rPr>
                <w:rFonts w:hint="eastAsia" w:ascii="方正仿宋_GBK" w:hAnsi="方正仿宋_GBK" w:eastAsia="方正仿宋_GBK" w:cs="方正仿宋_GBK"/>
                <w:i w:val="0"/>
                <w:caps w:val="0"/>
                <w:color w:val="auto"/>
                <w:spacing w:val="0"/>
                <w:sz w:val="28"/>
                <w:szCs w:val="28"/>
                <w:shd w:val="clear" w:color="auto" w:fill="FFFFFF"/>
                <w:vertAlign w:val="baseline"/>
                <w:lang w:val="en-US" w:eastAsia="zh-CN"/>
              </w:rPr>
              <w:t>通  辽  市</w:t>
            </w:r>
          </w:p>
        </w:tc>
        <w:tc>
          <w:tcPr>
            <w:tcW w:w="3321" w:type="dxa"/>
            <w:noWrap w:val="0"/>
            <w:vAlign w:val="center"/>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360" w:lineRule="exact"/>
              <w:ind w:right="0" w:rightChars="0"/>
              <w:jc w:val="center"/>
              <w:textAlignment w:val="auto"/>
              <w:rPr>
                <w:rFonts w:hint="eastAsia" w:ascii="方正仿宋_GBK" w:hAnsi="方正仿宋_GBK" w:eastAsia="方正仿宋_GBK" w:cs="方正仿宋_GBK"/>
                <w:i w:val="0"/>
                <w:caps w:val="0"/>
                <w:color w:val="auto"/>
                <w:spacing w:val="0"/>
                <w:sz w:val="28"/>
                <w:szCs w:val="28"/>
                <w:shd w:val="clear" w:color="auto" w:fill="FFFFFF"/>
                <w:vertAlign w:val="baseline"/>
                <w:lang w:val="en-US" w:eastAsia="zh-CN"/>
              </w:rPr>
            </w:pPr>
            <w:r>
              <w:rPr>
                <w:rFonts w:hint="eastAsia" w:ascii="方正仿宋_GBK" w:hAnsi="方正仿宋_GBK" w:eastAsia="方正仿宋_GBK" w:cs="方正仿宋_GBK"/>
                <w:i w:val="0"/>
                <w:caps w:val="0"/>
                <w:color w:val="auto"/>
                <w:spacing w:val="0"/>
                <w:sz w:val="28"/>
                <w:szCs w:val="28"/>
                <w:shd w:val="clear" w:color="auto" w:fill="FFFFFF"/>
                <w:vertAlign w:val="baseline"/>
                <w:lang w:val="en-US" w:eastAsia="zh-CN"/>
              </w:rPr>
              <w:t>16.5</w:t>
            </w:r>
          </w:p>
        </w:tc>
        <w:tc>
          <w:tcPr>
            <w:tcW w:w="3459" w:type="dxa"/>
            <w:noWrap w:val="0"/>
            <w:vAlign w:val="center"/>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360" w:lineRule="exact"/>
              <w:ind w:right="0" w:rightChars="0"/>
              <w:jc w:val="center"/>
              <w:textAlignment w:val="auto"/>
              <w:rPr>
                <w:rFonts w:hint="eastAsia" w:ascii="方正仿宋_GBK" w:hAnsi="方正仿宋_GBK" w:eastAsia="方正仿宋_GBK" w:cs="方正仿宋_GBK"/>
                <w:i w:val="0"/>
                <w:caps w:val="0"/>
                <w:color w:val="auto"/>
                <w:spacing w:val="0"/>
                <w:sz w:val="28"/>
                <w:szCs w:val="28"/>
                <w:shd w:val="clear" w:color="auto" w:fill="FFFFFF"/>
                <w:vertAlign w:val="baseline"/>
                <w:lang w:val="en-US" w:eastAsia="zh-CN"/>
              </w:rPr>
            </w:pPr>
            <w:r>
              <w:rPr>
                <w:rFonts w:hint="eastAsia" w:ascii="方正仿宋_GBK" w:hAnsi="方正仿宋_GBK" w:eastAsia="方正仿宋_GBK" w:cs="方正仿宋_GBK"/>
                <w:i w:val="0"/>
                <w:caps w:val="0"/>
                <w:color w:val="auto"/>
                <w:spacing w:val="0"/>
                <w:sz w:val="28"/>
                <w:szCs w:val="28"/>
                <w:shd w:val="clear" w:color="auto" w:fill="FFFFFF"/>
                <w:vertAlign w:val="baseline"/>
                <w:lang w:val="en-US" w:eastAsia="zh-CN"/>
              </w:rPr>
              <w:t>18.7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277" w:type="dxa"/>
            <w:noWrap w:val="0"/>
            <w:vAlign w:val="center"/>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360" w:lineRule="exact"/>
              <w:ind w:right="0" w:rightChars="0"/>
              <w:jc w:val="center"/>
              <w:textAlignment w:val="auto"/>
              <w:rPr>
                <w:rFonts w:hint="eastAsia" w:ascii="方正仿宋_GBK" w:hAnsi="方正仿宋_GBK" w:eastAsia="方正仿宋_GBK" w:cs="方正仿宋_GBK"/>
                <w:i w:val="0"/>
                <w:caps w:val="0"/>
                <w:color w:val="auto"/>
                <w:spacing w:val="0"/>
                <w:sz w:val="28"/>
                <w:szCs w:val="28"/>
                <w:shd w:val="clear" w:color="auto" w:fill="FFFFFF"/>
                <w:vertAlign w:val="baseline"/>
                <w:lang w:val="en-US" w:eastAsia="zh-CN"/>
              </w:rPr>
            </w:pPr>
            <w:r>
              <w:rPr>
                <w:rFonts w:hint="eastAsia" w:ascii="方正仿宋_GBK" w:hAnsi="方正仿宋_GBK" w:eastAsia="方正仿宋_GBK" w:cs="方正仿宋_GBK"/>
                <w:i w:val="0"/>
                <w:caps w:val="0"/>
                <w:color w:val="auto"/>
                <w:spacing w:val="0"/>
                <w:sz w:val="28"/>
                <w:szCs w:val="28"/>
                <w:shd w:val="clear" w:color="auto" w:fill="FFFFFF"/>
                <w:vertAlign w:val="baseline"/>
                <w:lang w:val="en-US" w:eastAsia="zh-CN"/>
              </w:rPr>
              <w:t>赤  峰  市</w:t>
            </w:r>
          </w:p>
        </w:tc>
        <w:tc>
          <w:tcPr>
            <w:tcW w:w="3321" w:type="dxa"/>
            <w:noWrap w:val="0"/>
            <w:vAlign w:val="center"/>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360" w:lineRule="exact"/>
              <w:ind w:right="0" w:rightChars="0"/>
              <w:jc w:val="center"/>
              <w:textAlignment w:val="auto"/>
              <w:rPr>
                <w:rFonts w:hint="eastAsia" w:ascii="方正仿宋_GBK" w:hAnsi="方正仿宋_GBK" w:eastAsia="方正仿宋_GBK" w:cs="方正仿宋_GBK"/>
                <w:i w:val="0"/>
                <w:caps w:val="0"/>
                <w:color w:val="auto"/>
                <w:spacing w:val="0"/>
                <w:sz w:val="28"/>
                <w:szCs w:val="28"/>
                <w:shd w:val="clear" w:color="auto" w:fill="FFFFFF"/>
                <w:vertAlign w:val="baseline"/>
                <w:lang w:val="en-US" w:eastAsia="zh-CN"/>
              </w:rPr>
            </w:pPr>
            <w:r>
              <w:rPr>
                <w:rFonts w:hint="eastAsia" w:ascii="方正仿宋_GBK" w:hAnsi="方正仿宋_GBK" w:eastAsia="方正仿宋_GBK" w:cs="方正仿宋_GBK"/>
                <w:i w:val="0"/>
                <w:caps w:val="0"/>
                <w:color w:val="auto"/>
                <w:spacing w:val="0"/>
                <w:sz w:val="28"/>
                <w:szCs w:val="28"/>
                <w:shd w:val="clear" w:color="auto" w:fill="FFFFFF"/>
                <w:vertAlign w:val="baseline"/>
                <w:lang w:val="en-US" w:eastAsia="zh-CN"/>
              </w:rPr>
              <w:t>14</w:t>
            </w:r>
          </w:p>
        </w:tc>
        <w:tc>
          <w:tcPr>
            <w:tcW w:w="3459" w:type="dxa"/>
            <w:noWrap w:val="0"/>
            <w:vAlign w:val="center"/>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360" w:lineRule="exact"/>
              <w:ind w:right="0" w:rightChars="0"/>
              <w:jc w:val="center"/>
              <w:textAlignment w:val="auto"/>
              <w:rPr>
                <w:rFonts w:hint="eastAsia" w:ascii="方正仿宋_GBK" w:hAnsi="方正仿宋_GBK" w:eastAsia="方正仿宋_GBK" w:cs="方正仿宋_GBK"/>
                <w:i w:val="0"/>
                <w:caps w:val="0"/>
                <w:color w:val="auto"/>
                <w:spacing w:val="0"/>
                <w:sz w:val="28"/>
                <w:szCs w:val="28"/>
                <w:shd w:val="clear" w:color="auto" w:fill="FFFFFF"/>
                <w:vertAlign w:val="baseline"/>
                <w:lang w:val="en-US" w:eastAsia="zh-CN"/>
              </w:rPr>
            </w:pPr>
            <w:r>
              <w:rPr>
                <w:rFonts w:hint="eastAsia" w:ascii="方正仿宋_GBK" w:hAnsi="方正仿宋_GBK" w:eastAsia="方正仿宋_GBK" w:cs="方正仿宋_GBK"/>
                <w:i w:val="0"/>
                <w:caps w:val="0"/>
                <w:color w:val="auto"/>
                <w:spacing w:val="0"/>
                <w:sz w:val="28"/>
                <w:szCs w:val="28"/>
                <w:shd w:val="clear" w:color="auto" w:fill="FFFFFF"/>
                <w:vertAlign w:val="baseline"/>
                <w:lang w:val="en-US" w:eastAsia="zh-CN"/>
              </w:rPr>
              <w:t>15.9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277" w:type="dxa"/>
            <w:noWrap w:val="0"/>
            <w:vAlign w:val="center"/>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360" w:lineRule="exact"/>
              <w:ind w:right="0" w:rightChars="0"/>
              <w:jc w:val="center"/>
              <w:textAlignment w:val="auto"/>
              <w:rPr>
                <w:rFonts w:hint="eastAsia" w:ascii="方正仿宋_GBK" w:hAnsi="方正仿宋_GBK" w:eastAsia="方正仿宋_GBK" w:cs="方正仿宋_GBK"/>
                <w:i w:val="0"/>
                <w:caps w:val="0"/>
                <w:color w:val="auto"/>
                <w:spacing w:val="0"/>
                <w:sz w:val="28"/>
                <w:szCs w:val="28"/>
                <w:shd w:val="clear" w:color="auto" w:fill="FFFFFF"/>
                <w:vertAlign w:val="baseline"/>
                <w:lang w:val="en-US" w:eastAsia="zh-CN"/>
              </w:rPr>
            </w:pPr>
            <w:r>
              <w:rPr>
                <w:rFonts w:hint="eastAsia" w:ascii="方正仿宋_GBK" w:hAnsi="方正仿宋_GBK" w:eastAsia="方正仿宋_GBK" w:cs="方正仿宋_GBK"/>
                <w:i w:val="0"/>
                <w:caps w:val="0"/>
                <w:color w:val="auto"/>
                <w:spacing w:val="0"/>
                <w:sz w:val="28"/>
                <w:szCs w:val="28"/>
                <w:shd w:val="clear" w:color="auto" w:fill="FFFFFF"/>
                <w:vertAlign w:val="baseline"/>
                <w:lang w:val="en-US" w:eastAsia="zh-CN"/>
              </w:rPr>
              <w:t>锡林郭勒盟</w:t>
            </w:r>
          </w:p>
        </w:tc>
        <w:tc>
          <w:tcPr>
            <w:tcW w:w="3321" w:type="dxa"/>
            <w:noWrap w:val="0"/>
            <w:vAlign w:val="center"/>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360" w:lineRule="exact"/>
              <w:ind w:right="0" w:rightChars="0"/>
              <w:jc w:val="center"/>
              <w:textAlignment w:val="auto"/>
              <w:rPr>
                <w:rFonts w:hint="eastAsia" w:ascii="方正仿宋_GBK" w:hAnsi="方正仿宋_GBK" w:eastAsia="方正仿宋_GBK" w:cs="方正仿宋_GBK"/>
                <w:i w:val="0"/>
                <w:caps w:val="0"/>
                <w:color w:val="auto"/>
                <w:spacing w:val="0"/>
                <w:sz w:val="28"/>
                <w:szCs w:val="28"/>
                <w:shd w:val="clear" w:color="auto" w:fill="FFFFFF"/>
                <w:vertAlign w:val="baseline"/>
                <w:lang w:val="en-US" w:eastAsia="zh-CN"/>
              </w:rPr>
            </w:pPr>
            <w:r>
              <w:rPr>
                <w:rFonts w:hint="eastAsia" w:ascii="方正仿宋_GBK" w:hAnsi="方正仿宋_GBK" w:eastAsia="方正仿宋_GBK" w:cs="方正仿宋_GBK"/>
                <w:i w:val="0"/>
                <w:caps w:val="0"/>
                <w:color w:val="auto"/>
                <w:spacing w:val="0"/>
                <w:sz w:val="28"/>
                <w:szCs w:val="28"/>
                <w:shd w:val="clear" w:color="auto" w:fill="FFFFFF"/>
                <w:vertAlign w:val="baseline"/>
                <w:lang w:val="en-US" w:eastAsia="zh-CN"/>
              </w:rPr>
              <w:t>15.5</w:t>
            </w:r>
          </w:p>
        </w:tc>
        <w:tc>
          <w:tcPr>
            <w:tcW w:w="3459" w:type="dxa"/>
            <w:noWrap w:val="0"/>
            <w:vAlign w:val="center"/>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360" w:lineRule="exact"/>
              <w:ind w:right="0" w:rightChars="0"/>
              <w:jc w:val="center"/>
              <w:textAlignment w:val="auto"/>
              <w:rPr>
                <w:rFonts w:hint="eastAsia" w:ascii="方正仿宋_GBK" w:hAnsi="方正仿宋_GBK" w:eastAsia="方正仿宋_GBK" w:cs="方正仿宋_GBK"/>
                <w:i w:val="0"/>
                <w:caps w:val="0"/>
                <w:color w:val="auto"/>
                <w:spacing w:val="0"/>
                <w:sz w:val="28"/>
                <w:szCs w:val="28"/>
                <w:shd w:val="clear" w:color="auto" w:fill="FFFFFF"/>
                <w:vertAlign w:val="baseline"/>
                <w:lang w:val="en-US" w:eastAsia="zh-CN"/>
              </w:rPr>
            </w:pPr>
            <w:r>
              <w:rPr>
                <w:rFonts w:hint="eastAsia" w:ascii="方正仿宋_GBK" w:hAnsi="方正仿宋_GBK" w:eastAsia="方正仿宋_GBK" w:cs="方正仿宋_GBK"/>
                <w:i w:val="0"/>
                <w:caps w:val="0"/>
                <w:color w:val="auto"/>
                <w:spacing w:val="0"/>
                <w:sz w:val="28"/>
                <w:szCs w:val="28"/>
                <w:shd w:val="clear" w:color="auto" w:fill="FFFFFF"/>
                <w:vertAlign w:val="baseline"/>
                <w:lang w:val="en-US" w:eastAsia="zh-CN"/>
              </w:rPr>
              <w:t>17.6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277" w:type="dxa"/>
            <w:noWrap w:val="0"/>
            <w:vAlign w:val="center"/>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360" w:lineRule="exact"/>
              <w:ind w:right="0" w:rightChars="0"/>
              <w:jc w:val="center"/>
              <w:textAlignment w:val="auto"/>
              <w:rPr>
                <w:rFonts w:hint="eastAsia" w:ascii="方正仿宋_GBK" w:hAnsi="方正仿宋_GBK" w:eastAsia="方正仿宋_GBK" w:cs="方正仿宋_GBK"/>
                <w:i w:val="0"/>
                <w:caps w:val="0"/>
                <w:color w:val="auto"/>
                <w:spacing w:val="0"/>
                <w:sz w:val="28"/>
                <w:szCs w:val="28"/>
                <w:shd w:val="clear" w:color="auto" w:fill="FFFFFF"/>
                <w:vertAlign w:val="baseline"/>
                <w:lang w:val="en-US" w:eastAsia="zh-CN"/>
              </w:rPr>
            </w:pPr>
            <w:r>
              <w:rPr>
                <w:rFonts w:hint="eastAsia" w:ascii="方正仿宋_GBK" w:hAnsi="方正仿宋_GBK" w:eastAsia="方正仿宋_GBK" w:cs="方正仿宋_GBK"/>
                <w:i w:val="0"/>
                <w:caps w:val="0"/>
                <w:color w:val="auto"/>
                <w:spacing w:val="0"/>
                <w:sz w:val="28"/>
                <w:szCs w:val="28"/>
                <w:shd w:val="clear" w:color="auto" w:fill="FFFFFF"/>
                <w:vertAlign w:val="baseline"/>
                <w:lang w:val="en-US" w:eastAsia="zh-CN"/>
              </w:rPr>
              <w:t>乌兰察布市</w:t>
            </w:r>
          </w:p>
        </w:tc>
        <w:tc>
          <w:tcPr>
            <w:tcW w:w="3321" w:type="dxa"/>
            <w:noWrap w:val="0"/>
            <w:vAlign w:val="center"/>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360" w:lineRule="exact"/>
              <w:ind w:right="0" w:rightChars="0"/>
              <w:jc w:val="center"/>
              <w:textAlignment w:val="auto"/>
              <w:rPr>
                <w:rFonts w:hint="eastAsia" w:ascii="方正仿宋_GBK" w:hAnsi="方正仿宋_GBK" w:eastAsia="方正仿宋_GBK" w:cs="方正仿宋_GBK"/>
                <w:i w:val="0"/>
                <w:caps w:val="0"/>
                <w:color w:val="auto"/>
                <w:spacing w:val="0"/>
                <w:sz w:val="28"/>
                <w:szCs w:val="28"/>
                <w:shd w:val="clear" w:color="auto" w:fill="FFFFFF"/>
                <w:vertAlign w:val="baseline"/>
                <w:lang w:val="en-US" w:eastAsia="zh-CN"/>
              </w:rPr>
            </w:pPr>
            <w:r>
              <w:rPr>
                <w:rFonts w:hint="eastAsia" w:ascii="方正仿宋_GBK" w:hAnsi="方正仿宋_GBK" w:eastAsia="方正仿宋_GBK" w:cs="方正仿宋_GBK"/>
                <w:i w:val="0"/>
                <w:caps w:val="0"/>
                <w:color w:val="auto"/>
                <w:spacing w:val="0"/>
                <w:sz w:val="28"/>
                <w:szCs w:val="28"/>
                <w:shd w:val="clear" w:color="auto" w:fill="FFFFFF"/>
                <w:vertAlign w:val="baseline"/>
                <w:lang w:val="en-US" w:eastAsia="zh-CN"/>
              </w:rPr>
              <w:t>18</w:t>
            </w:r>
          </w:p>
        </w:tc>
        <w:tc>
          <w:tcPr>
            <w:tcW w:w="3459" w:type="dxa"/>
            <w:noWrap w:val="0"/>
            <w:vAlign w:val="center"/>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360" w:lineRule="exact"/>
              <w:ind w:right="0" w:rightChars="0"/>
              <w:jc w:val="center"/>
              <w:textAlignment w:val="auto"/>
              <w:rPr>
                <w:rFonts w:hint="eastAsia" w:ascii="方正仿宋_GBK" w:hAnsi="方正仿宋_GBK" w:eastAsia="方正仿宋_GBK" w:cs="方正仿宋_GBK"/>
                <w:i w:val="0"/>
                <w:caps w:val="0"/>
                <w:color w:val="auto"/>
                <w:spacing w:val="0"/>
                <w:sz w:val="28"/>
                <w:szCs w:val="28"/>
                <w:shd w:val="clear" w:color="auto" w:fill="FFFFFF"/>
                <w:vertAlign w:val="baseline"/>
                <w:lang w:val="en-US" w:eastAsia="zh-CN"/>
              </w:rPr>
            </w:pPr>
            <w:r>
              <w:rPr>
                <w:rFonts w:hint="eastAsia" w:ascii="方正仿宋_GBK" w:hAnsi="方正仿宋_GBK" w:eastAsia="方正仿宋_GBK" w:cs="方正仿宋_GBK"/>
                <w:i w:val="0"/>
                <w:caps w:val="0"/>
                <w:color w:val="auto"/>
                <w:spacing w:val="0"/>
                <w:sz w:val="28"/>
                <w:szCs w:val="28"/>
                <w:shd w:val="clear" w:color="auto" w:fill="FFFFFF"/>
                <w:vertAlign w:val="baseline"/>
                <w:lang w:val="en-US" w:eastAsia="zh-CN"/>
              </w:rPr>
              <w:t>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277" w:type="dxa"/>
            <w:noWrap w:val="0"/>
            <w:vAlign w:val="center"/>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360" w:lineRule="exact"/>
              <w:ind w:right="0" w:rightChars="0"/>
              <w:jc w:val="center"/>
              <w:textAlignment w:val="auto"/>
              <w:rPr>
                <w:rFonts w:hint="eastAsia" w:ascii="方正仿宋_GBK" w:hAnsi="方正仿宋_GBK" w:eastAsia="方正仿宋_GBK" w:cs="方正仿宋_GBK"/>
                <w:i w:val="0"/>
                <w:caps w:val="0"/>
                <w:color w:val="auto"/>
                <w:spacing w:val="0"/>
                <w:sz w:val="28"/>
                <w:szCs w:val="28"/>
                <w:shd w:val="clear" w:color="auto" w:fill="FFFFFF"/>
                <w:vertAlign w:val="baseline"/>
                <w:lang w:val="en-US" w:eastAsia="zh-CN"/>
              </w:rPr>
            </w:pPr>
            <w:r>
              <w:rPr>
                <w:rFonts w:hint="eastAsia" w:ascii="方正仿宋_GBK" w:hAnsi="方正仿宋_GBK" w:eastAsia="方正仿宋_GBK" w:cs="方正仿宋_GBK"/>
                <w:i w:val="0"/>
                <w:caps w:val="0"/>
                <w:color w:val="auto"/>
                <w:spacing w:val="0"/>
                <w:sz w:val="28"/>
                <w:szCs w:val="28"/>
                <w:shd w:val="clear" w:color="auto" w:fill="FFFFFF"/>
                <w:vertAlign w:val="baseline"/>
                <w:lang w:val="en-US" w:eastAsia="zh-CN"/>
              </w:rPr>
              <w:t>鄂尔多斯市</w:t>
            </w:r>
          </w:p>
        </w:tc>
        <w:tc>
          <w:tcPr>
            <w:tcW w:w="3321" w:type="dxa"/>
            <w:noWrap w:val="0"/>
            <w:vAlign w:val="center"/>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360" w:lineRule="exact"/>
              <w:ind w:right="0" w:rightChars="0"/>
              <w:jc w:val="center"/>
              <w:textAlignment w:val="auto"/>
              <w:rPr>
                <w:rFonts w:hint="eastAsia" w:ascii="方正仿宋_GBK" w:hAnsi="方正仿宋_GBK" w:eastAsia="方正仿宋_GBK" w:cs="方正仿宋_GBK"/>
                <w:i w:val="0"/>
                <w:caps w:val="0"/>
                <w:color w:val="auto"/>
                <w:spacing w:val="0"/>
                <w:sz w:val="28"/>
                <w:szCs w:val="28"/>
                <w:shd w:val="clear" w:color="auto" w:fill="FFFFFF"/>
                <w:vertAlign w:val="baseline"/>
                <w:lang w:val="en-US" w:eastAsia="zh-CN"/>
              </w:rPr>
            </w:pPr>
            <w:r>
              <w:rPr>
                <w:rFonts w:hint="eastAsia" w:ascii="方正仿宋_GBK" w:hAnsi="方正仿宋_GBK" w:eastAsia="方正仿宋_GBK" w:cs="方正仿宋_GBK"/>
                <w:i w:val="0"/>
                <w:caps w:val="0"/>
                <w:color w:val="auto"/>
                <w:spacing w:val="0"/>
                <w:sz w:val="28"/>
                <w:szCs w:val="28"/>
                <w:shd w:val="clear" w:color="auto" w:fill="FFFFFF"/>
                <w:vertAlign w:val="baseline"/>
                <w:lang w:val="en-US" w:eastAsia="zh-CN"/>
              </w:rPr>
              <w:t>16.5</w:t>
            </w:r>
          </w:p>
        </w:tc>
        <w:tc>
          <w:tcPr>
            <w:tcW w:w="3459" w:type="dxa"/>
            <w:noWrap w:val="0"/>
            <w:vAlign w:val="center"/>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360" w:lineRule="exact"/>
              <w:ind w:right="0" w:rightChars="0"/>
              <w:jc w:val="center"/>
              <w:textAlignment w:val="auto"/>
              <w:rPr>
                <w:rFonts w:hint="eastAsia" w:ascii="方正仿宋_GBK" w:hAnsi="方正仿宋_GBK" w:eastAsia="方正仿宋_GBK" w:cs="方正仿宋_GBK"/>
                <w:i w:val="0"/>
                <w:caps w:val="0"/>
                <w:color w:val="auto"/>
                <w:spacing w:val="0"/>
                <w:sz w:val="28"/>
                <w:szCs w:val="28"/>
                <w:shd w:val="clear" w:color="auto" w:fill="FFFFFF"/>
                <w:vertAlign w:val="baseline"/>
                <w:lang w:val="en-US" w:eastAsia="zh-CN"/>
              </w:rPr>
            </w:pPr>
            <w:r>
              <w:rPr>
                <w:rFonts w:hint="eastAsia" w:ascii="方正仿宋_GBK" w:hAnsi="方正仿宋_GBK" w:eastAsia="方正仿宋_GBK" w:cs="方正仿宋_GBK"/>
                <w:i w:val="0"/>
                <w:caps w:val="0"/>
                <w:color w:val="auto"/>
                <w:spacing w:val="0"/>
                <w:sz w:val="28"/>
                <w:szCs w:val="28"/>
                <w:shd w:val="clear" w:color="auto" w:fill="FFFFFF"/>
                <w:vertAlign w:val="baseline"/>
                <w:lang w:val="en-US" w:eastAsia="zh-CN"/>
              </w:rPr>
              <w:t>18.7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277" w:type="dxa"/>
            <w:noWrap w:val="0"/>
            <w:vAlign w:val="center"/>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360" w:lineRule="exact"/>
              <w:ind w:right="0" w:rightChars="0"/>
              <w:jc w:val="center"/>
              <w:textAlignment w:val="auto"/>
              <w:rPr>
                <w:rFonts w:hint="eastAsia" w:ascii="方正仿宋_GBK" w:hAnsi="方正仿宋_GBK" w:eastAsia="方正仿宋_GBK" w:cs="方正仿宋_GBK"/>
                <w:i w:val="0"/>
                <w:caps w:val="0"/>
                <w:color w:val="auto"/>
                <w:spacing w:val="0"/>
                <w:sz w:val="28"/>
                <w:szCs w:val="28"/>
                <w:shd w:val="clear" w:color="auto" w:fill="FFFFFF"/>
                <w:vertAlign w:val="baseline"/>
                <w:lang w:val="en-US" w:eastAsia="zh-CN"/>
              </w:rPr>
            </w:pPr>
            <w:r>
              <w:rPr>
                <w:rFonts w:hint="eastAsia" w:ascii="方正仿宋_GBK" w:hAnsi="方正仿宋_GBK" w:eastAsia="方正仿宋_GBK" w:cs="方正仿宋_GBK"/>
                <w:i w:val="0"/>
                <w:caps w:val="0"/>
                <w:color w:val="auto"/>
                <w:spacing w:val="0"/>
                <w:sz w:val="28"/>
                <w:szCs w:val="28"/>
                <w:shd w:val="clear" w:color="auto" w:fill="FFFFFF"/>
                <w:vertAlign w:val="baseline"/>
                <w:lang w:val="en-US" w:eastAsia="zh-CN"/>
              </w:rPr>
              <w:t>巴彦淖尔市</w:t>
            </w:r>
          </w:p>
        </w:tc>
        <w:tc>
          <w:tcPr>
            <w:tcW w:w="3321" w:type="dxa"/>
            <w:noWrap w:val="0"/>
            <w:vAlign w:val="center"/>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360" w:lineRule="exact"/>
              <w:ind w:right="0" w:rightChars="0"/>
              <w:jc w:val="center"/>
              <w:textAlignment w:val="auto"/>
              <w:rPr>
                <w:rFonts w:hint="eastAsia" w:ascii="方正仿宋_GBK" w:hAnsi="方正仿宋_GBK" w:eastAsia="方正仿宋_GBK" w:cs="方正仿宋_GBK"/>
                <w:i w:val="0"/>
                <w:caps w:val="0"/>
                <w:color w:val="auto"/>
                <w:spacing w:val="0"/>
                <w:sz w:val="28"/>
                <w:szCs w:val="28"/>
                <w:shd w:val="clear" w:color="auto" w:fill="FFFFFF"/>
                <w:vertAlign w:val="baseline"/>
                <w:lang w:val="en-US" w:eastAsia="zh-CN"/>
              </w:rPr>
            </w:pPr>
            <w:r>
              <w:rPr>
                <w:rFonts w:hint="eastAsia" w:ascii="方正仿宋_GBK" w:hAnsi="方正仿宋_GBK" w:eastAsia="方正仿宋_GBK" w:cs="方正仿宋_GBK"/>
                <w:i w:val="0"/>
                <w:caps w:val="0"/>
                <w:color w:val="auto"/>
                <w:spacing w:val="0"/>
                <w:sz w:val="28"/>
                <w:szCs w:val="28"/>
                <w:shd w:val="clear" w:color="auto" w:fill="FFFFFF"/>
                <w:vertAlign w:val="baseline"/>
                <w:lang w:val="en-US" w:eastAsia="zh-CN"/>
              </w:rPr>
              <w:t>15.5</w:t>
            </w:r>
          </w:p>
        </w:tc>
        <w:tc>
          <w:tcPr>
            <w:tcW w:w="3459" w:type="dxa"/>
            <w:noWrap w:val="0"/>
            <w:vAlign w:val="center"/>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360" w:lineRule="exact"/>
              <w:ind w:right="0" w:rightChars="0"/>
              <w:jc w:val="center"/>
              <w:textAlignment w:val="auto"/>
              <w:rPr>
                <w:rFonts w:hint="eastAsia" w:ascii="方正仿宋_GBK" w:hAnsi="方正仿宋_GBK" w:eastAsia="方正仿宋_GBK" w:cs="方正仿宋_GBK"/>
                <w:i w:val="0"/>
                <w:caps w:val="0"/>
                <w:color w:val="auto"/>
                <w:spacing w:val="0"/>
                <w:sz w:val="28"/>
                <w:szCs w:val="28"/>
                <w:shd w:val="clear" w:color="auto" w:fill="FFFFFF"/>
                <w:vertAlign w:val="baseline"/>
                <w:lang w:val="en-US" w:eastAsia="zh-CN"/>
              </w:rPr>
            </w:pPr>
            <w:r>
              <w:rPr>
                <w:rFonts w:hint="eastAsia" w:ascii="方正仿宋_GBK" w:hAnsi="方正仿宋_GBK" w:eastAsia="方正仿宋_GBK" w:cs="方正仿宋_GBK"/>
                <w:i w:val="0"/>
                <w:caps w:val="0"/>
                <w:color w:val="auto"/>
                <w:spacing w:val="0"/>
                <w:sz w:val="28"/>
                <w:szCs w:val="28"/>
                <w:shd w:val="clear" w:color="auto" w:fill="FFFFFF"/>
                <w:vertAlign w:val="baseline"/>
                <w:lang w:val="en-US" w:eastAsia="zh-CN"/>
              </w:rPr>
              <w:t>17.6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277" w:type="dxa"/>
            <w:noWrap w:val="0"/>
            <w:vAlign w:val="center"/>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360" w:lineRule="exact"/>
              <w:ind w:right="0" w:rightChars="0"/>
              <w:jc w:val="center"/>
              <w:textAlignment w:val="auto"/>
              <w:rPr>
                <w:rFonts w:hint="eastAsia" w:ascii="方正仿宋_GBK" w:hAnsi="方正仿宋_GBK" w:eastAsia="方正仿宋_GBK" w:cs="方正仿宋_GBK"/>
                <w:i w:val="0"/>
                <w:caps w:val="0"/>
                <w:color w:val="auto"/>
                <w:spacing w:val="0"/>
                <w:sz w:val="28"/>
                <w:szCs w:val="28"/>
                <w:shd w:val="clear" w:color="auto" w:fill="FFFFFF"/>
                <w:vertAlign w:val="baseline"/>
                <w:lang w:val="en-US" w:eastAsia="zh-CN"/>
              </w:rPr>
            </w:pPr>
            <w:r>
              <w:rPr>
                <w:rFonts w:hint="eastAsia" w:ascii="方正仿宋_GBK" w:hAnsi="方正仿宋_GBK" w:eastAsia="方正仿宋_GBK" w:cs="方正仿宋_GBK"/>
                <w:i w:val="0"/>
                <w:caps w:val="0"/>
                <w:color w:val="auto"/>
                <w:spacing w:val="0"/>
                <w:sz w:val="28"/>
                <w:szCs w:val="28"/>
                <w:shd w:val="clear" w:color="auto" w:fill="FFFFFF"/>
                <w:vertAlign w:val="baseline"/>
                <w:lang w:val="en-US" w:eastAsia="zh-CN"/>
              </w:rPr>
              <w:t>乌  海  市</w:t>
            </w:r>
          </w:p>
        </w:tc>
        <w:tc>
          <w:tcPr>
            <w:tcW w:w="3321" w:type="dxa"/>
            <w:noWrap w:val="0"/>
            <w:vAlign w:val="center"/>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360" w:lineRule="exact"/>
              <w:ind w:right="0" w:rightChars="0"/>
              <w:jc w:val="center"/>
              <w:textAlignment w:val="auto"/>
              <w:rPr>
                <w:rFonts w:hint="eastAsia" w:ascii="方正仿宋_GBK" w:hAnsi="方正仿宋_GBK" w:eastAsia="方正仿宋_GBK" w:cs="方正仿宋_GBK"/>
                <w:i w:val="0"/>
                <w:caps w:val="0"/>
                <w:color w:val="auto"/>
                <w:spacing w:val="0"/>
                <w:sz w:val="28"/>
                <w:szCs w:val="28"/>
                <w:shd w:val="clear" w:color="auto" w:fill="FFFFFF"/>
                <w:vertAlign w:val="baseline"/>
                <w:lang w:val="en-US" w:eastAsia="zh-CN"/>
              </w:rPr>
            </w:pPr>
            <w:r>
              <w:rPr>
                <w:rFonts w:hint="eastAsia" w:ascii="方正仿宋_GBK" w:hAnsi="方正仿宋_GBK" w:eastAsia="方正仿宋_GBK" w:cs="方正仿宋_GBK"/>
                <w:i w:val="0"/>
                <w:caps w:val="0"/>
                <w:color w:val="auto"/>
                <w:spacing w:val="0"/>
                <w:sz w:val="28"/>
                <w:szCs w:val="28"/>
                <w:shd w:val="clear" w:color="auto" w:fill="FFFFFF"/>
                <w:vertAlign w:val="baseline"/>
                <w:lang w:val="en-US" w:eastAsia="zh-CN"/>
              </w:rPr>
              <w:t>18</w:t>
            </w:r>
          </w:p>
        </w:tc>
        <w:tc>
          <w:tcPr>
            <w:tcW w:w="3459" w:type="dxa"/>
            <w:noWrap w:val="0"/>
            <w:vAlign w:val="center"/>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360" w:lineRule="exact"/>
              <w:ind w:right="0" w:rightChars="0"/>
              <w:jc w:val="center"/>
              <w:textAlignment w:val="auto"/>
              <w:rPr>
                <w:rFonts w:hint="eastAsia" w:ascii="方正仿宋_GBK" w:hAnsi="方正仿宋_GBK" w:eastAsia="方正仿宋_GBK" w:cs="方正仿宋_GBK"/>
                <w:i w:val="0"/>
                <w:caps w:val="0"/>
                <w:color w:val="auto"/>
                <w:spacing w:val="0"/>
                <w:sz w:val="28"/>
                <w:szCs w:val="28"/>
                <w:shd w:val="clear" w:color="auto" w:fill="FFFFFF"/>
                <w:vertAlign w:val="baseline"/>
                <w:lang w:val="en-US" w:eastAsia="zh-CN"/>
              </w:rPr>
            </w:pPr>
            <w:r>
              <w:rPr>
                <w:rFonts w:hint="eastAsia" w:ascii="方正仿宋_GBK" w:hAnsi="方正仿宋_GBK" w:eastAsia="方正仿宋_GBK" w:cs="方正仿宋_GBK"/>
                <w:i w:val="0"/>
                <w:caps w:val="0"/>
                <w:color w:val="auto"/>
                <w:spacing w:val="0"/>
                <w:sz w:val="28"/>
                <w:szCs w:val="28"/>
                <w:shd w:val="clear" w:color="auto" w:fill="FFFFFF"/>
                <w:vertAlign w:val="baseline"/>
                <w:lang w:val="en-US" w:eastAsia="zh-CN"/>
              </w:rPr>
              <w:t>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277" w:type="dxa"/>
            <w:noWrap w:val="0"/>
            <w:vAlign w:val="center"/>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360" w:lineRule="exact"/>
              <w:ind w:right="0" w:rightChars="0"/>
              <w:jc w:val="center"/>
              <w:textAlignment w:val="auto"/>
              <w:rPr>
                <w:rFonts w:hint="eastAsia" w:ascii="方正仿宋_GBK" w:hAnsi="方正仿宋_GBK" w:eastAsia="方正仿宋_GBK" w:cs="方正仿宋_GBK"/>
                <w:i w:val="0"/>
                <w:caps w:val="0"/>
                <w:color w:val="auto"/>
                <w:spacing w:val="0"/>
                <w:sz w:val="28"/>
                <w:szCs w:val="28"/>
                <w:shd w:val="clear" w:color="auto" w:fill="FFFFFF"/>
                <w:vertAlign w:val="baseline"/>
                <w:lang w:val="en-US" w:eastAsia="zh-CN"/>
              </w:rPr>
            </w:pPr>
            <w:r>
              <w:rPr>
                <w:rFonts w:hint="eastAsia" w:ascii="方正仿宋_GBK" w:hAnsi="方正仿宋_GBK" w:eastAsia="方正仿宋_GBK" w:cs="方正仿宋_GBK"/>
                <w:i w:val="0"/>
                <w:caps w:val="0"/>
                <w:color w:val="auto"/>
                <w:spacing w:val="46"/>
                <w:kern w:val="0"/>
                <w:sz w:val="28"/>
                <w:szCs w:val="28"/>
                <w:shd w:val="clear" w:color="auto" w:fill="FFFFFF"/>
                <w:fitText w:val="1400" w:id="2100645556"/>
                <w:vertAlign w:val="baseline"/>
                <w:lang w:val="en-US" w:eastAsia="zh-CN"/>
              </w:rPr>
              <w:t>阿拉善</w:t>
            </w:r>
            <w:r>
              <w:rPr>
                <w:rFonts w:hint="eastAsia" w:ascii="方正仿宋_GBK" w:hAnsi="方正仿宋_GBK" w:eastAsia="方正仿宋_GBK" w:cs="方正仿宋_GBK"/>
                <w:i w:val="0"/>
                <w:caps w:val="0"/>
                <w:color w:val="auto"/>
                <w:spacing w:val="2"/>
                <w:kern w:val="0"/>
                <w:sz w:val="28"/>
                <w:szCs w:val="28"/>
                <w:shd w:val="clear" w:color="auto" w:fill="FFFFFF"/>
                <w:fitText w:val="1400" w:id="2100645556"/>
                <w:vertAlign w:val="baseline"/>
                <w:lang w:val="en-US" w:eastAsia="zh-CN"/>
              </w:rPr>
              <w:t>盟</w:t>
            </w:r>
          </w:p>
        </w:tc>
        <w:tc>
          <w:tcPr>
            <w:tcW w:w="3321" w:type="dxa"/>
            <w:noWrap w:val="0"/>
            <w:vAlign w:val="center"/>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360" w:lineRule="exact"/>
              <w:ind w:right="0" w:rightChars="0"/>
              <w:jc w:val="center"/>
              <w:textAlignment w:val="auto"/>
              <w:rPr>
                <w:rFonts w:hint="eastAsia" w:ascii="方正仿宋_GBK" w:hAnsi="方正仿宋_GBK" w:eastAsia="方正仿宋_GBK" w:cs="方正仿宋_GBK"/>
                <w:i w:val="0"/>
                <w:caps w:val="0"/>
                <w:color w:val="auto"/>
                <w:spacing w:val="0"/>
                <w:sz w:val="28"/>
                <w:szCs w:val="28"/>
                <w:shd w:val="clear" w:color="auto" w:fill="FFFFFF"/>
                <w:vertAlign w:val="baseline"/>
                <w:lang w:val="en-US" w:eastAsia="zh-CN"/>
              </w:rPr>
            </w:pPr>
            <w:r>
              <w:rPr>
                <w:rFonts w:hint="eastAsia" w:ascii="方正仿宋_GBK" w:hAnsi="方正仿宋_GBK" w:eastAsia="方正仿宋_GBK" w:cs="方正仿宋_GBK"/>
                <w:i w:val="0"/>
                <w:caps w:val="0"/>
                <w:color w:val="auto"/>
                <w:spacing w:val="0"/>
                <w:sz w:val="28"/>
                <w:szCs w:val="28"/>
                <w:shd w:val="clear" w:color="auto" w:fill="FFFFFF"/>
                <w:vertAlign w:val="baseline"/>
                <w:lang w:val="en-US" w:eastAsia="zh-CN"/>
              </w:rPr>
              <w:t>18</w:t>
            </w:r>
          </w:p>
        </w:tc>
        <w:tc>
          <w:tcPr>
            <w:tcW w:w="3459" w:type="dxa"/>
            <w:noWrap w:val="0"/>
            <w:vAlign w:val="center"/>
          </w:tcPr>
          <w:p>
            <w:pPr>
              <w:keepNext w:val="0"/>
              <w:keepLines w:val="0"/>
              <w:pageBreakBefore w:val="0"/>
              <w:widowControl w:val="0"/>
              <w:shd w:val="clear" w:color="auto" w:fill="auto"/>
              <w:suppressAutoHyphens/>
              <w:kinsoku/>
              <w:wordWrap/>
              <w:overflowPunct/>
              <w:topLinePunct w:val="0"/>
              <w:autoSpaceDE/>
              <w:autoSpaceDN/>
              <w:bidi w:val="0"/>
              <w:adjustRightInd/>
              <w:snapToGrid/>
              <w:spacing w:line="360" w:lineRule="exact"/>
              <w:ind w:right="0" w:rightChars="0"/>
              <w:jc w:val="center"/>
              <w:textAlignment w:val="auto"/>
              <w:rPr>
                <w:rFonts w:hint="eastAsia" w:ascii="方正仿宋_GBK" w:hAnsi="方正仿宋_GBK" w:eastAsia="方正仿宋_GBK" w:cs="方正仿宋_GBK"/>
                <w:i w:val="0"/>
                <w:caps w:val="0"/>
                <w:color w:val="auto"/>
                <w:spacing w:val="0"/>
                <w:sz w:val="28"/>
                <w:szCs w:val="28"/>
                <w:shd w:val="clear" w:color="auto" w:fill="FFFFFF"/>
                <w:vertAlign w:val="baseline"/>
                <w:lang w:val="en-US" w:eastAsia="zh-CN"/>
              </w:rPr>
            </w:pPr>
            <w:r>
              <w:rPr>
                <w:rFonts w:hint="eastAsia" w:ascii="方正仿宋_GBK" w:hAnsi="方正仿宋_GBK" w:eastAsia="方正仿宋_GBK" w:cs="方正仿宋_GBK"/>
                <w:i w:val="0"/>
                <w:caps w:val="0"/>
                <w:color w:val="auto"/>
                <w:spacing w:val="0"/>
                <w:sz w:val="28"/>
                <w:szCs w:val="28"/>
                <w:shd w:val="clear" w:color="auto" w:fill="FFFFFF"/>
                <w:vertAlign w:val="baseline"/>
                <w:lang w:val="en-US" w:eastAsia="zh-CN"/>
              </w:rPr>
              <w:t>20.4</w:t>
            </w:r>
          </w:p>
        </w:tc>
      </w:tr>
    </w:tbl>
    <w:p>
      <w:pPr>
        <w:pStyle w:val="2"/>
        <w:rPr>
          <w:rFonts w:hint="eastAsia"/>
          <w:lang w:val="en-US" w:eastAsia="zh-CN"/>
        </w:rPr>
      </w:pP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default" w:ascii="Times New Roman" w:hAnsi="Times New Roman" w:eastAsia="方正仿宋_GBK" w:cs="Times New Roman"/>
          <w:i w:val="0"/>
          <w:caps w:val="0"/>
          <w:color w:val="auto"/>
          <w:spacing w:val="0"/>
          <w:sz w:val="32"/>
          <w:szCs w:val="32"/>
          <w:shd w:val="clear" w:color="auto" w:fill="FFFFFF"/>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方正仿宋_GBK" w:cs="Times New Roman"/>
          <w:color w:val="auto"/>
          <w:sz w:val="32"/>
          <w:szCs w:val="32"/>
          <w:lang w:val="en-US" w:eastAsia="zh-CN"/>
        </w:rPr>
        <w:sectPr>
          <w:footerReference r:id="rId3" w:type="default"/>
          <w:footerReference r:id="rId4" w:type="even"/>
          <w:pgSz w:w="11906" w:h="16838"/>
          <w:pgMar w:top="2098" w:right="1474" w:bottom="1701" w:left="1474" w:header="851" w:footer="1417" w:gutter="0"/>
          <w:paperSrc/>
          <w:pgNumType w:fmt="numberInDash"/>
          <w:cols w:space="720" w:num="1"/>
          <w:rtlGutter w:val="0"/>
          <w:docGrid w:type="lines" w:linePitch="312" w:charSpace="0"/>
        </w:sectPr>
      </w:pP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80" w:lineRule="exact"/>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附件2</w:t>
      </w:r>
    </w:p>
    <w:p>
      <w:pPr>
        <w:pStyle w:val="2"/>
        <w:keepNext w:val="0"/>
        <w:keepLines w:val="0"/>
        <w:pageBreakBefore w:val="0"/>
        <w:widowControl w:val="0"/>
        <w:kinsoku/>
        <w:wordWrap/>
        <w:overflowPunct/>
        <w:topLinePunct w:val="0"/>
        <w:autoSpaceDE/>
        <w:autoSpaceDN/>
        <w:bidi w:val="0"/>
        <w:adjustRightInd/>
        <w:snapToGrid/>
        <w:spacing w:after="0" w:afterLines="0" w:line="580" w:lineRule="exac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shd w:val="clear" w:color="auto" w:fill="auto"/>
        <w:suppressAutoHyphens/>
        <w:kinsoku/>
        <w:wordWrap/>
        <w:overflowPunct/>
        <w:topLinePunct w:val="0"/>
        <w:autoSpaceDE/>
        <w:autoSpaceDN/>
        <w:bidi w:val="0"/>
        <w:adjustRightInd/>
        <w:snapToGrid/>
        <w:spacing w:line="580" w:lineRule="exact"/>
        <w:ind w:right="0" w:rightChars="0"/>
        <w:jc w:val="center"/>
        <w:textAlignment w:val="auto"/>
        <w:rPr>
          <w:rFonts w:hint="eastAsia" w:ascii="方正小标宋简体" w:hAnsi="方正小标宋简体" w:eastAsia="方正小标宋简体" w:cs="方正小标宋简体"/>
          <w:i w:val="0"/>
          <w:caps w:val="0"/>
          <w:color w:val="auto"/>
          <w:spacing w:val="0"/>
          <w:sz w:val="44"/>
          <w:szCs w:val="44"/>
          <w:shd w:val="clear" w:color="auto" w:fill="FFFFFF"/>
          <w:lang w:val="en-US" w:eastAsia="zh-CN"/>
        </w:rPr>
      </w:pPr>
      <w:r>
        <w:rPr>
          <w:rFonts w:hint="eastAsia" w:ascii="方正小标宋简体" w:hAnsi="方正小标宋简体" w:eastAsia="方正小标宋简体" w:cs="方正小标宋简体"/>
          <w:i w:val="0"/>
          <w:caps w:val="0"/>
          <w:color w:val="auto"/>
          <w:spacing w:val="0"/>
          <w:sz w:val="44"/>
          <w:szCs w:val="44"/>
          <w:shd w:val="clear" w:color="auto" w:fill="FFFFFF"/>
          <w:lang w:val="en-US" w:eastAsia="zh-CN"/>
        </w:rPr>
        <w:t>内蒙古自治区“十四五”主要行业节能指标</w:t>
      </w:r>
    </w:p>
    <w:p>
      <w:pPr>
        <w:pStyle w:val="2"/>
        <w:rPr>
          <w:rFonts w:hint="eastAsia"/>
          <w:lang w:val="en-US" w:eastAsia="zh-CN"/>
        </w:rPr>
      </w:pPr>
    </w:p>
    <w:tbl>
      <w:tblPr>
        <w:tblStyle w:val="12"/>
        <w:tblW w:w="9368"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096"/>
        <w:gridCol w:w="2205"/>
        <w:gridCol w:w="984"/>
        <w:gridCol w:w="984"/>
        <w:gridCol w:w="10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5" w:hRule="atLeast"/>
        </w:trPr>
        <w:tc>
          <w:tcPr>
            <w:tcW w:w="4096"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指  标</w:t>
            </w:r>
          </w:p>
        </w:tc>
        <w:tc>
          <w:tcPr>
            <w:tcW w:w="2205"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单  位</w:t>
            </w:r>
          </w:p>
        </w:tc>
        <w:tc>
          <w:tcPr>
            <w:tcW w:w="984"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2020年实际值</w:t>
            </w:r>
          </w:p>
        </w:tc>
        <w:tc>
          <w:tcPr>
            <w:tcW w:w="208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2025年指标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0" w:hRule="atLeast"/>
        </w:trPr>
        <w:tc>
          <w:tcPr>
            <w:tcW w:w="4096"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黑体" w:hAnsi="黑体" w:eastAsia="黑体" w:cs="黑体"/>
                <w:i w:val="0"/>
                <w:color w:val="000000"/>
                <w:sz w:val="24"/>
                <w:szCs w:val="24"/>
                <w:u w:val="none"/>
              </w:rPr>
            </w:pPr>
          </w:p>
        </w:tc>
        <w:tc>
          <w:tcPr>
            <w:tcW w:w="2205"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黑体" w:hAnsi="黑体" w:eastAsia="黑体" w:cs="黑体"/>
                <w:i w:val="0"/>
                <w:color w:val="000000"/>
                <w:sz w:val="24"/>
                <w:szCs w:val="24"/>
                <w:u w:val="none"/>
              </w:rPr>
            </w:pPr>
          </w:p>
        </w:tc>
        <w:tc>
          <w:tcPr>
            <w:tcW w:w="984"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黑体" w:hAnsi="黑体" w:eastAsia="黑体" w:cs="黑体"/>
                <w:i w:val="0"/>
                <w:color w:val="000000"/>
                <w:sz w:val="24"/>
                <w:szCs w:val="24"/>
                <w:u w:val="none"/>
              </w:rPr>
            </w:pP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目标值</w:t>
            </w:r>
          </w:p>
        </w:tc>
        <w:tc>
          <w:tcPr>
            <w:tcW w:w="1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变化幅度/变化率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5" w:hRule="exact"/>
        </w:trPr>
        <w:tc>
          <w:tcPr>
            <w:tcW w:w="936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color w:val="000000"/>
                <w:sz w:val="24"/>
                <w:szCs w:val="24"/>
                <w:u w:val="none"/>
              </w:rPr>
            </w:pPr>
            <w:r>
              <w:rPr>
                <w:rFonts w:hint="eastAsia" w:ascii="黑体" w:hAnsi="黑体" w:eastAsia="黑体" w:cs="黑体"/>
                <w:i w:val="0"/>
                <w:color w:val="000000"/>
                <w:kern w:val="0"/>
                <w:sz w:val="24"/>
                <w:szCs w:val="24"/>
                <w:u w:val="none"/>
                <w:lang w:val="en-US" w:eastAsia="zh-CN" w:bidi="ar"/>
              </w:rPr>
              <w:t>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5" w:hRule="exact"/>
        </w:trPr>
        <w:tc>
          <w:tcPr>
            <w:tcW w:w="4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火电平均供电煤耗</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克标准煤/千瓦时</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321</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305</w:t>
            </w:r>
          </w:p>
        </w:tc>
        <w:tc>
          <w:tcPr>
            <w:tcW w:w="1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5" w:hRule="exact"/>
        </w:trPr>
        <w:tc>
          <w:tcPr>
            <w:tcW w:w="4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非化石能源占能源消费总量比重</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11.2</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w:t>
            </w:r>
          </w:p>
        </w:tc>
        <w:tc>
          <w:tcPr>
            <w:tcW w:w="1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5" w:hRule="exact"/>
        </w:trPr>
        <w:tc>
          <w:tcPr>
            <w:tcW w:w="4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可再生能源</w:t>
            </w:r>
            <w:r>
              <w:rPr>
                <w:rFonts w:hint="eastAsia" w:ascii="宋体" w:hAnsi="宋体" w:eastAsia="宋体" w:cs="宋体"/>
                <w:i w:val="0"/>
                <w:color w:val="auto"/>
                <w:kern w:val="0"/>
                <w:sz w:val="24"/>
                <w:szCs w:val="24"/>
                <w:u w:val="none"/>
                <w:lang w:val="en-US" w:eastAsia="zh-CN" w:bidi="ar"/>
              </w:rPr>
              <w:t>电力</w:t>
            </w:r>
            <w:r>
              <w:rPr>
                <w:rFonts w:hint="eastAsia" w:ascii="宋体" w:hAnsi="宋体" w:eastAsia="宋体" w:cs="宋体"/>
                <w:i w:val="0"/>
                <w:color w:val="000000"/>
                <w:kern w:val="0"/>
                <w:sz w:val="24"/>
                <w:szCs w:val="24"/>
                <w:u w:val="none"/>
                <w:lang w:val="en-US" w:eastAsia="zh-CN" w:bidi="ar"/>
              </w:rPr>
              <w:t>消纳权重</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35</w:t>
            </w:r>
          </w:p>
        </w:tc>
        <w:tc>
          <w:tcPr>
            <w:tcW w:w="1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5" w:hRule="exact"/>
        </w:trPr>
        <w:tc>
          <w:tcPr>
            <w:tcW w:w="936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color w:val="000000"/>
                <w:sz w:val="24"/>
                <w:szCs w:val="24"/>
                <w:u w:val="none"/>
              </w:rPr>
            </w:pPr>
            <w:r>
              <w:rPr>
                <w:rFonts w:hint="eastAsia" w:ascii="黑体" w:hAnsi="黑体" w:eastAsia="黑体" w:cs="黑体"/>
                <w:i w:val="0"/>
                <w:color w:val="000000"/>
                <w:kern w:val="0"/>
                <w:sz w:val="24"/>
                <w:szCs w:val="24"/>
                <w:u w:val="none"/>
                <w:lang w:val="en-US" w:eastAsia="zh-CN" w:bidi="ar"/>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5" w:hRule="exact"/>
        </w:trPr>
        <w:tc>
          <w:tcPr>
            <w:tcW w:w="4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焦炭单位产品综合能耗（</w:t>
            </w:r>
            <w:r>
              <w:rPr>
                <w:rFonts w:hint="eastAsia" w:ascii="宋体" w:hAnsi="宋体" w:eastAsia="宋体" w:cs="宋体"/>
                <w:i w:val="0"/>
                <w:color w:val="auto"/>
                <w:kern w:val="0"/>
                <w:sz w:val="24"/>
                <w:szCs w:val="24"/>
                <w:u w:val="none"/>
                <w:lang w:val="en-US" w:eastAsia="zh-CN" w:bidi="ar"/>
              </w:rPr>
              <w:t>捣固焦炉</w:t>
            </w:r>
            <w:r>
              <w:rPr>
                <w:rFonts w:hint="eastAsia" w:ascii="宋体" w:hAnsi="宋体" w:eastAsia="宋体" w:cs="宋体"/>
                <w:i w:val="0"/>
                <w:color w:val="000000"/>
                <w:kern w:val="0"/>
                <w:sz w:val="24"/>
                <w:szCs w:val="24"/>
                <w:u w:val="none"/>
                <w:lang w:val="en-US" w:eastAsia="zh-CN" w:bidi="ar"/>
              </w:rPr>
              <w:t>）</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千克标准煤/吨</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143</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135</w:t>
            </w:r>
          </w:p>
        </w:tc>
        <w:tc>
          <w:tcPr>
            <w:tcW w:w="1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5" w:hRule="exact"/>
        </w:trPr>
        <w:tc>
          <w:tcPr>
            <w:tcW w:w="4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水泥熟料单位产品综合能耗</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千克标准煤/吨</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118</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117</w:t>
            </w:r>
          </w:p>
        </w:tc>
        <w:tc>
          <w:tcPr>
            <w:tcW w:w="1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5" w:hRule="exact"/>
        </w:trPr>
        <w:tc>
          <w:tcPr>
            <w:tcW w:w="4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炼铁高炉工序综合能耗</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千克标准煤/吨</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443</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435</w:t>
            </w:r>
          </w:p>
        </w:tc>
        <w:tc>
          <w:tcPr>
            <w:tcW w:w="1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5" w:hRule="exact"/>
        </w:trPr>
        <w:tc>
          <w:tcPr>
            <w:tcW w:w="4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炼钢转炉工序综合能耗</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千克标准煤/吨</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1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5" w:hRule="exact"/>
        </w:trPr>
        <w:tc>
          <w:tcPr>
            <w:tcW w:w="4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硅铁单位产品综合能耗</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千克标准煤/吨</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1919</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1900</w:t>
            </w:r>
          </w:p>
        </w:tc>
        <w:tc>
          <w:tcPr>
            <w:tcW w:w="1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5" w:hRule="exact"/>
        </w:trPr>
        <w:tc>
          <w:tcPr>
            <w:tcW w:w="4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高碳铬铁单位产品综合能耗</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千克标准煤/吨</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808</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800</w:t>
            </w:r>
          </w:p>
        </w:tc>
        <w:tc>
          <w:tcPr>
            <w:tcW w:w="1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5" w:hRule="exact"/>
        </w:trPr>
        <w:tc>
          <w:tcPr>
            <w:tcW w:w="4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电解铝铝液交流电耗</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千瓦时/吨</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13700</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13350</w:t>
            </w:r>
          </w:p>
        </w:tc>
        <w:tc>
          <w:tcPr>
            <w:tcW w:w="1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5" w:hRule="exact"/>
        </w:trPr>
        <w:tc>
          <w:tcPr>
            <w:tcW w:w="4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大型和超大型数据中心电能利用效率</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4"/>
                <w:szCs w:val="24"/>
                <w:u w:val="none"/>
              </w:rPr>
            </w:pP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1.33</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1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5" w:hRule="exact"/>
        </w:trPr>
        <w:tc>
          <w:tcPr>
            <w:tcW w:w="936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color w:val="000000"/>
                <w:sz w:val="24"/>
                <w:szCs w:val="24"/>
                <w:u w:val="none"/>
              </w:rPr>
            </w:pPr>
            <w:r>
              <w:rPr>
                <w:rFonts w:hint="eastAsia" w:ascii="黑体" w:hAnsi="黑体" w:eastAsia="黑体" w:cs="黑体"/>
                <w:i w:val="0"/>
                <w:color w:val="000000"/>
                <w:kern w:val="0"/>
                <w:sz w:val="24"/>
                <w:szCs w:val="24"/>
                <w:u w:val="none"/>
                <w:lang w:val="en-US" w:eastAsia="zh-CN" w:bidi="ar"/>
              </w:rPr>
              <w:t>建筑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5" w:hRule="exact"/>
        </w:trPr>
        <w:tc>
          <w:tcPr>
            <w:tcW w:w="4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城镇新建建筑执行绿色建筑标准比例</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4"/>
                <w:szCs w:val="24"/>
                <w:u w:val="none"/>
              </w:rPr>
            </w:pP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1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5" w:hRule="exact"/>
        </w:trPr>
        <w:tc>
          <w:tcPr>
            <w:tcW w:w="936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color w:val="000000"/>
                <w:sz w:val="24"/>
                <w:szCs w:val="24"/>
                <w:u w:val="none"/>
              </w:rPr>
            </w:pPr>
            <w:r>
              <w:rPr>
                <w:rFonts w:hint="eastAsia" w:ascii="黑体" w:hAnsi="黑体" w:eastAsia="黑体" w:cs="黑体"/>
                <w:i w:val="0"/>
                <w:color w:val="000000"/>
                <w:kern w:val="0"/>
                <w:sz w:val="24"/>
                <w:szCs w:val="24"/>
                <w:u w:val="none"/>
                <w:lang w:val="en-US" w:eastAsia="zh-CN" w:bidi="ar"/>
              </w:rPr>
              <w:t>交通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5" w:hRule="exact"/>
        </w:trPr>
        <w:tc>
          <w:tcPr>
            <w:tcW w:w="4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营运车辆单位运输周转量能耗</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4"/>
                <w:szCs w:val="24"/>
                <w:u w:val="none"/>
              </w:rPr>
            </w:pP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4"/>
                <w:szCs w:val="24"/>
                <w:u w:val="none"/>
              </w:rPr>
            </w:pP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4"/>
                <w:szCs w:val="24"/>
                <w:u w:val="none"/>
              </w:rPr>
            </w:pPr>
          </w:p>
        </w:tc>
        <w:tc>
          <w:tcPr>
            <w:tcW w:w="1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5" w:hRule="exact"/>
        </w:trPr>
        <w:tc>
          <w:tcPr>
            <w:tcW w:w="936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i w:val="0"/>
                <w:color w:val="000000"/>
                <w:sz w:val="24"/>
                <w:szCs w:val="24"/>
                <w:u w:val="none"/>
              </w:rPr>
            </w:pPr>
            <w:r>
              <w:rPr>
                <w:rFonts w:hint="eastAsia" w:ascii="黑体" w:hAnsi="黑体" w:eastAsia="黑体" w:cs="黑体"/>
                <w:i w:val="0"/>
                <w:color w:val="000000"/>
                <w:kern w:val="0"/>
                <w:sz w:val="24"/>
                <w:szCs w:val="24"/>
                <w:u w:val="none"/>
                <w:lang w:val="en-US" w:eastAsia="zh-CN" w:bidi="ar"/>
              </w:rPr>
              <w:t>公共机构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5" w:hRule="exact"/>
        </w:trPr>
        <w:tc>
          <w:tcPr>
            <w:tcW w:w="4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公共机构单位建筑面积能耗</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pacing w:val="-11"/>
                <w:kern w:val="0"/>
                <w:sz w:val="24"/>
                <w:szCs w:val="24"/>
                <w:u w:val="none"/>
                <w:lang w:val="en-US" w:eastAsia="zh-CN" w:bidi="ar"/>
              </w:rPr>
              <w:t>千克标准煤/平方米</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28.99</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27.54</w:t>
            </w:r>
          </w:p>
        </w:tc>
        <w:tc>
          <w:tcPr>
            <w:tcW w:w="1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5" w:hRule="exact"/>
        </w:trPr>
        <w:tc>
          <w:tcPr>
            <w:tcW w:w="4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公共机构人均综合能耗</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千克标准煤/人</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514.3</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483.44</w:t>
            </w:r>
          </w:p>
        </w:tc>
        <w:tc>
          <w:tcPr>
            <w:tcW w:w="1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bl>
    <w:p>
      <w:pPr>
        <w:keepNext w:val="0"/>
        <w:keepLines w:val="0"/>
        <w:pageBreakBefore w:val="0"/>
        <w:widowControl w:val="0"/>
        <w:shd w:val="clear" w:color="auto" w:fill="auto"/>
        <w:suppressAutoHyphens/>
        <w:kinsoku/>
        <w:wordWrap/>
        <w:overflowPunct/>
        <w:topLinePunct w:val="0"/>
        <w:autoSpaceDE/>
        <w:autoSpaceDN/>
        <w:bidi w:val="0"/>
        <w:adjustRightInd/>
        <w:snapToGrid/>
        <w:spacing w:line="580" w:lineRule="exact"/>
        <w:ind w:firstLine="280" w:firstLineChars="100"/>
        <w:jc w:val="both"/>
        <w:textAlignment w:val="auto"/>
        <w:rPr>
          <w:rFonts w:hint="eastAsia" w:ascii="方正楷体_GBK" w:hAnsi="方正楷体_GBK" w:eastAsia="方正楷体_GBK" w:cs="方正楷体_GBK"/>
          <w:color w:val="auto"/>
          <w:sz w:val="28"/>
          <w:szCs w:val="28"/>
          <w:lang w:val="en" w:eastAsia="zh-CN"/>
        </w:rPr>
      </w:pPr>
      <w:r>
        <w:rPr>
          <w:rFonts w:hint="eastAsia" w:ascii="方正黑体_GBK" w:hAnsi="方正黑体_GBK" w:eastAsia="方正黑体_GBK" w:cs="方正黑体_GBK"/>
          <w:color w:val="auto"/>
          <w:sz w:val="28"/>
          <w:szCs w:val="28"/>
          <w:lang w:val="en" w:eastAsia="zh-CN"/>
        </w:rPr>
        <w:t>注：</w:t>
      </w:r>
      <w:r>
        <w:rPr>
          <w:rFonts w:hint="eastAsia" w:ascii="方正楷体_GBK" w:hAnsi="方正楷体_GBK" w:eastAsia="方正楷体_GBK" w:cs="方正楷体_GBK"/>
          <w:color w:val="auto"/>
          <w:sz w:val="28"/>
          <w:szCs w:val="28"/>
          <w:lang w:val="en"/>
        </w:rPr>
        <w:t>[</w:t>
      </w:r>
      <w:r>
        <w:rPr>
          <w:rFonts w:hint="eastAsia" w:ascii="方正楷体_GBK" w:hAnsi="方正楷体_GBK" w:eastAsia="方正楷体_GBK" w:cs="方正楷体_GBK"/>
          <w:color w:val="auto"/>
          <w:sz w:val="28"/>
          <w:szCs w:val="28"/>
          <w:lang w:val="en-US" w:eastAsia="zh-CN"/>
        </w:rPr>
        <w:t xml:space="preserve">  </w:t>
      </w:r>
      <w:r>
        <w:rPr>
          <w:rFonts w:hint="eastAsia" w:ascii="方正楷体_GBK" w:hAnsi="方正楷体_GBK" w:eastAsia="方正楷体_GBK" w:cs="方正楷体_GBK"/>
          <w:color w:val="auto"/>
          <w:sz w:val="28"/>
          <w:szCs w:val="28"/>
          <w:lang w:val="en"/>
        </w:rPr>
        <w:t>]</w:t>
      </w:r>
      <w:r>
        <w:rPr>
          <w:rFonts w:hint="eastAsia" w:ascii="方正楷体_GBK" w:hAnsi="方正楷体_GBK" w:eastAsia="方正楷体_GBK" w:cs="方正楷体_GBK"/>
          <w:color w:val="auto"/>
          <w:sz w:val="28"/>
          <w:szCs w:val="28"/>
          <w:lang w:val="en" w:eastAsia="zh-CN"/>
        </w:rPr>
        <w:t>内为变化率。</w:t>
      </w:r>
    </w:p>
    <w:p>
      <w:pPr>
        <w:pStyle w:val="2"/>
        <w:rPr>
          <w:rFonts w:hint="default" w:ascii="Times New Roman" w:hAnsi="Times New Roman" w:cs="Times New Roman"/>
          <w:lang w:val="en-US" w:eastAsia="zh-CN"/>
        </w:rPr>
      </w:pPr>
    </w:p>
    <w:p>
      <w:pPr>
        <w:rPr>
          <w:rFonts w:hint="eastAsia"/>
        </w:rPr>
      </w:pPr>
    </w:p>
    <w:p>
      <w:pPr>
        <w:rPr>
          <w:rFonts w:hint="eastAsia"/>
        </w:rPr>
      </w:pPr>
    </w:p>
    <w:p>
      <w:pPr>
        <w:rPr>
          <w:rFonts w:hint="eastAsia"/>
        </w:rPr>
      </w:pPr>
    </w:p>
    <w:p>
      <w:pPr>
        <w:rPr>
          <w:rFonts w:hint="eastAsia"/>
        </w:rPr>
      </w:pPr>
    </w:p>
    <w:p>
      <w:pPr>
        <w:pStyle w:val="2"/>
        <w:rPr>
          <w:rFonts w:hint="eastAsia"/>
        </w:rPr>
      </w:pPr>
    </w:p>
    <w:p>
      <w:pPr>
        <w:pStyle w:val="3"/>
        <w:rPr>
          <w:rFonts w:hint="eastAsia"/>
        </w:rPr>
      </w:pPr>
    </w:p>
    <w:p>
      <w:pPr>
        <w:pStyle w:val="4"/>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tbl>
      <w:tblPr>
        <w:tblStyle w:val="12"/>
        <w:tblW w:w="9160" w:type="dxa"/>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160"/>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608" w:hRule="atLeast"/>
        </w:trPr>
        <w:tc>
          <w:tcPr>
            <w:tcW w:w="9160" w:type="dxa"/>
            <w:noWrap w:val="0"/>
            <w:vAlign w:val="top"/>
          </w:tcPr>
          <w:p>
            <w:pPr>
              <w:spacing w:line="400" w:lineRule="exact"/>
              <w:ind w:firstLine="280" w:firstLineChars="100"/>
              <w:rPr>
                <w:rFonts w:ascii="仿宋_GB2312" w:eastAsia="仿宋_GB2312"/>
                <w:sz w:val="28"/>
              </w:rPr>
            </w:pPr>
            <w:r>
              <w:rPr>
                <w:rFonts w:hint="eastAsia" w:ascii="仿宋_GB2312" w:eastAsia="仿宋_GB2312"/>
                <w:sz w:val="28"/>
              </w:rPr>
              <w:t>抄送：自治区党委各部门，内蒙古军区，武警内蒙古总队。</w:t>
            </w:r>
          </w:p>
          <w:p>
            <w:pPr>
              <w:spacing w:line="400" w:lineRule="exact"/>
              <w:ind w:firstLine="1148" w:firstLineChars="410"/>
              <w:rPr>
                <w:rFonts w:hint="eastAsia" w:ascii="仿宋_GB2312" w:eastAsia="仿宋_GB2312"/>
                <w:sz w:val="28"/>
                <w:lang w:eastAsia="zh-CN"/>
              </w:rPr>
            </w:pPr>
            <w:r>
              <w:rPr>
                <w:rFonts w:hint="eastAsia" w:ascii="仿宋_GB2312" w:eastAsia="仿宋_GB2312"/>
                <w:sz w:val="28"/>
              </w:rPr>
              <w:t>自治区人大常委会办公厅、政协办公厅，</w:t>
            </w:r>
            <w:r>
              <w:rPr>
                <w:rFonts w:hint="eastAsia" w:ascii="仿宋_GB2312" w:eastAsia="仿宋_GB2312"/>
                <w:sz w:val="28"/>
                <w:lang w:eastAsia="zh-CN"/>
              </w:rPr>
              <w:t>自治区监委，自治区</w:t>
            </w:r>
          </w:p>
          <w:p>
            <w:pPr>
              <w:spacing w:line="400" w:lineRule="exact"/>
              <w:ind w:firstLine="1148" w:firstLineChars="410"/>
              <w:rPr>
                <w:rFonts w:ascii="仿宋_GB2312" w:eastAsia="仿宋_GB2312"/>
                <w:sz w:val="28"/>
              </w:rPr>
            </w:pPr>
            <w:r>
              <w:rPr>
                <w:rFonts w:hint="eastAsia" w:ascii="仿宋_GB2312" w:eastAsia="仿宋_GB2312"/>
                <w:sz w:val="28"/>
              </w:rPr>
              <w:t>高级人民法院，检察院。</w:t>
            </w:r>
          </w:p>
          <w:p>
            <w:pPr>
              <w:spacing w:line="400" w:lineRule="exact"/>
              <w:ind w:firstLine="1148" w:firstLineChars="410"/>
              <w:rPr>
                <w:rFonts w:ascii="仿宋_GB2312" w:eastAsia="仿宋_GB2312"/>
                <w:sz w:val="28"/>
              </w:rPr>
            </w:pPr>
            <w:r>
              <w:rPr>
                <w:rFonts w:hint="eastAsia" w:ascii="仿宋_GB2312" w:eastAsia="仿宋_GB2312"/>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49" w:hRule="atLeast"/>
        </w:trPr>
        <w:tc>
          <w:tcPr>
            <w:tcW w:w="9160" w:type="dxa"/>
            <w:noWrap w:val="0"/>
            <w:vAlign w:val="top"/>
          </w:tcPr>
          <w:p>
            <w:pPr>
              <w:ind w:firstLine="280" w:firstLineChars="100"/>
              <w:rPr>
                <w:rFonts w:ascii="仿宋_GB2312" w:eastAsia="仿宋_GB2312"/>
                <w:sz w:val="28"/>
              </w:rPr>
            </w:pPr>
            <w:r>
              <w:rPr>
                <w:rFonts w:hint="eastAsia" w:ascii="仿宋_GB2312" w:eastAsia="仿宋_GB2312"/>
                <w:sz w:val="28"/>
              </w:rPr>
              <w:t>内蒙古自治区人民政府办公厅文电处         202</w:t>
            </w:r>
            <w:r>
              <w:rPr>
                <w:rFonts w:hint="eastAsia" w:ascii="仿宋_GB2312" w:eastAsia="仿宋_GB2312"/>
                <w:sz w:val="28"/>
                <w:lang w:val="en-US" w:eastAsia="zh-CN"/>
              </w:rPr>
              <w:t>2</w:t>
            </w:r>
            <w:r>
              <w:rPr>
                <w:rFonts w:hint="eastAsia" w:ascii="仿宋_GB2312" w:eastAsia="仿宋_GB2312"/>
                <w:sz w:val="28"/>
              </w:rPr>
              <w:t>年</w:t>
            </w:r>
            <w:r>
              <w:rPr>
                <w:rFonts w:hint="eastAsia" w:ascii="仿宋_GB2312" w:eastAsia="仿宋_GB2312"/>
                <w:sz w:val="28"/>
                <w:lang w:val="en-US" w:eastAsia="zh-CN"/>
              </w:rPr>
              <w:t>5</w:t>
            </w:r>
            <w:r>
              <w:rPr>
                <w:rFonts w:hint="eastAsia" w:ascii="仿宋_GB2312" w:eastAsia="仿宋_GB2312"/>
                <w:sz w:val="28"/>
              </w:rPr>
              <w:t>月</w:t>
            </w:r>
            <w:r>
              <w:rPr>
                <w:rFonts w:hint="eastAsia" w:ascii="仿宋_GB2312" w:eastAsia="仿宋_GB2312"/>
                <w:sz w:val="28"/>
                <w:lang w:val="en-US" w:eastAsia="zh-CN"/>
              </w:rPr>
              <w:t>27</w:t>
            </w:r>
            <w:r>
              <w:rPr>
                <w:rFonts w:hint="eastAsia" w:ascii="仿宋_GB2312" w:eastAsia="仿宋_GB2312"/>
                <w:sz w:val="28"/>
              </w:rPr>
              <w:t>日印发</w:t>
            </w:r>
          </w:p>
        </w:tc>
      </w:tr>
    </w:tbl>
    <w:p>
      <w:pPr>
        <w:spacing w:line="20" w:lineRule="exact"/>
        <w:rPr>
          <w:rFonts w:hint="eastAsia"/>
        </w:rPr>
      </w:pPr>
      <w:r>
        <w:rPr>
          <w:sz w:val="21"/>
        </w:rPr>
        <mc:AlternateContent>
          <mc:Choice Requires="wps">
            <w:drawing>
              <wp:anchor distT="0" distB="0" distL="114300" distR="114300" simplePos="0" relativeHeight="251659264" behindDoc="0" locked="0" layoutInCell="1" allowOverlap="1">
                <wp:simplePos x="0" y="0"/>
                <wp:positionH relativeFrom="column">
                  <wp:posOffset>5044440</wp:posOffset>
                </wp:positionH>
                <wp:positionV relativeFrom="paragraph">
                  <wp:posOffset>178435</wp:posOffset>
                </wp:positionV>
                <wp:extent cx="680085" cy="414020"/>
                <wp:effectExtent l="4445" t="4445" r="20320" b="19685"/>
                <wp:wrapNone/>
                <wp:docPr id="1" name="文本框 5"/>
                <wp:cNvGraphicFramePr/>
                <a:graphic xmlns:a="http://schemas.openxmlformats.org/drawingml/2006/main">
                  <a:graphicData uri="http://schemas.microsoft.com/office/word/2010/wordprocessingShape">
                    <wps:wsp>
                      <wps:cNvSpPr txBox="1"/>
                      <wps:spPr>
                        <a:xfrm>
                          <a:off x="0" y="0"/>
                          <a:ext cx="680085" cy="414020"/>
                        </a:xfrm>
                        <a:prstGeom prst="rect">
                          <a:avLst/>
                        </a:prstGeom>
                        <a:solidFill>
                          <a:srgbClr val="FFFFFF"/>
                        </a:solidFill>
                        <a:ln w="9525" cap="flat" cmpd="sng">
                          <a:solidFill>
                            <a:srgbClr val="FFFFFF"/>
                          </a:solidFill>
                          <a:prstDash val="solid"/>
                          <a:miter/>
                          <a:headEnd type="none" w="med" len="med"/>
                          <a:tailEnd type="none" w="med" len="med"/>
                        </a:ln>
                      </wps:spPr>
                      <wps:txbx>
                        <w:txbxContent>
                          <w:p/>
                        </w:txbxContent>
                      </wps:txbx>
                      <wps:bodyPr vert="horz" wrap="square" anchor="t" anchorCtr="0" upright="1"/>
                    </wps:wsp>
                  </a:graphicData>
                </a:graphic>
              </wp:anchor>
            </w:drawing>
          </mc:Choice>
          <mc:Fallback>
            <w:pict>
              <v:shape id="文本框 5" o:spid="_x0000_s1026" o:spt="202" type="#_x0000_t202" style="position:absolute;left:0pt;margin-left:397.2pt;margin-top:14.05pt;height:32.6pt;width:53.55pt;z-index:251659264;mso-width-relative:page;mso-height-relative:page;" fillcolor="#FFFFFF" filled="t" stroked="t" coordsize="21600,21600" o:gfxdata="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PvqHFfZAAAACQEAAA8AAAAAAAAAAQAgAAAA&#10;IgAAAGRycy9kb3ducmV2LnhtbFBLAQIUABQAAAAIAIdO4kBggHoBCgIAABoEAAAOAAAAAAAAAAEA&#10;IAAAACgBAABkcnMvZTJvRG9jLnhtbFBLBQYAAAAABgAGAFkBAACkBQAAAAA=&#10;">
                <v:fill on="t" focussize="0,0"/>
                <v:stroke color="#FFFFFF" joinstyle="miter"/>
                <v:imagedata o:title=""/>
                <o:lock v:ext="edit" aspectratio="f"/>
                <v:textbox>
                  <w:txbxContent>
                    <w:p/>
                  </w:txbxContent>
                </v:textbox>
              </v:shape>
            </w:pict>
          </mc:Fallback>
        </mc:AlternateContent>
      </w:r>
    </w:p>
    <w:sectPr>
      <w:headerReference r:id="rId5" w:type="default"/>
      <w:footerReference r:id="rId7" w:type="default"/>
      <w:headerReference r:id="rId6" w:type="even"/>
      <w:footerReference r:id="rId8" w:type="even"/>
      <w:pgSz w:w="11906" w:h="16838"/>
      <w:pgMar w:top="2098" w:right="1474" w:bottom="1701" w:left="1474" w:header="851" w:footer="1417"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golian Baiti">
    <w:panose1 w:val="03000500000000000000"/>
    <w:charset w:val="00"/>
    <w:family w:val="script"/>
    <w:pitch w:val="default"/>
    <w:sig w:usb0="80000023" w:usb1="00000000" w:usb2="00020000" w:usb3="00000000" w:csb0="00000001" w:csb1="00000000"/>
  </w:font>
  <w:font w:name="仿宋_GB2312">
    <w:altName w:val="仿宋"/>
    <w:panose1 w:val="02010609030101010101"/>
    <w:charset w:val="86"/>
    <w:family w:val="modern"/>
    <w:pitch w:val="default"/>
    <w:sig w:usb0="00000001" w:usb1="080E0000" w:usb2="00000000" w:usb3="00000000" w:csb0="00040000" w:csb1="00000000"/>
  </w:font>
  <w:font w:name="Liberation Sans">
    <w:altName w:val="微软雅黑"/>
    <w:panose1 w:val="00000000000000000000"/>
    <w:charset w:val="00"/>
    <w:family w:val="swiss"/>
    <w:pitch w:val="default"/>
    <w:sig w:usb0="00000000" w:usb1="00000000" w:usb2="00000000" w:usb3="00000000" w:csb0="00040001" w:csb1="00000000"/>
  </w:font>
  <w:font w:name="Noto Sans CJK SC Regular">
    <w:altName w:val="宋体"/>
    <w:panose1 w:val="020B0500000000000000"/>
    <w:charset w:val="86"/>
    <w:family w:val="auto"/>
    <w:pitch w:val="default"/>
    <w:sig w:usb0="30000003" w:usb1="2BDF3C10" w:usb2="00000016" w:usb3="00000000" w:csb0="602E0107" w:csb1="00000000"/>
  </w:font>
  <w:font w:name="华文仿宋">
    <w:altName w:val="方正仿宋_GBK"/>
    <w:panose1 w:val="02010600040101010101"/>
    <w:charset w:val="00"/>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uppressAutoHyphens/>
      <w:bidi w:val="0"/>
      <w:snapToGrid w:val="0"/>
      <w:jc w:val="left"/>
      <w:rPr>
        <w:rFonts w:ascii="Calibri" w:hAnsi="Calibri" w:eastAsia="宋体" w:cs="Times New Roman"/>
        <w:color w:val="auto"/>
        <w:kern w:val="2"/>
        <w:sz w:val="18"/>
        <w:szCs w:val="24"/>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sKxjjCAQAAcAMAAA4AAAAAAAAAAQAgAAAAHgEAAGRycy9lMm9Eb2MueG1sUEsF&#10;BgAAAAAGAAYAWQEAAFIFAAAAAA==&#10;">
              <v:fill on="f" focussize="0,0"/>
              <v:stroke on="f"/>
              <v:imagedata o:title=""/>
              <o:lock v:ext="edit" aspectratio="f"/>
              <v:textbox inset="0mm,0mm,0mm,0mm" style="mso-fit-shape-to-text:t;">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shape>
          </w:pict>
        </mc:Fallback>
      </mc:AlternateContent>
    </w:r>
    <w:r>
      <w:rPr>
        <w:rFonts w:ascii="Calibri" w:hAnsi="Calibri" w:eastAsia="宋体" w:cs="Times New Roman"/>
        <w:color w:val="auto"/>
        <w:kern w:val="2"/>
        <w:sz w:val="18"/>
        <w:szCs w:val="24"/>
        <w:lang w:val="en-US" w:eastAsia="zh-CN" w:bidi="ar-SA"/>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widowControl w:val="0"/>
                            <w:suppressAutoHyphens/>
                            <w:bidi w:val="0"/>
                            <w:snapToGrid w:val="0"/>
                            <w:jc w:val="left"/>
                            <w:rPr>
                              <w:rFonts w:hint="eastAsia" w:ascii="宋体" w:hAnsi="宋体" w:eastAsia="宋体" w:cs="宋体"/>
                              <w:color w:val="auto"/>
                              <w:kern w:val="2"/>
                              <w:sz w:val="28"/>
                              <w:szCs w:val="28"/>
                              <w:lang w:val="en-US" w:eastAsia="zh-CN" w:bidi="ar-SA"/>
                            </w:rPr>
                          </w:pP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DAD4bDsQEA&#10;AFkDAAAOAAAAAAAAAAEAIAAAAB4BAABkcnMvZTJvRG9jLnhtbFBLBQYAAAAABgAGAFkBAABBBQAA&#10;AAA=&#10;">
              <v:fill on="f" focussize="0,0"/>
              <v:stroke on="f"/>
              <v:imagedata o:title=""/>
              <o:lock v:ext="edit" aspectratio="f"/>
              <v:textbox inset="0mm,0mm,0mm,0mm" style="mso-fit-shape-to-text:t;">
                <w:txbxContent>
                  <w:p>
                    <w:pPr>
                      <w:widowControl w:val="0"/>
                      <w:suppressAutoHyphens/>
                      <w:bidi w:val="0"/>
                      <w:snapToGrid w:val="0"/>
                      <w:jc w:val="left"/>
                      <w:rPr>
                        <w:rFonts w:hint="eastAsia" w:ascii="宋体" w:hAnsi="宋体" w:eastAsia="宋体" w:cs="宋体"/>
                        <w:color w:val="auto"/>
                        <w:kern w:val="2"/>
                        <w:sz w:val="28"/>
                        <w:szCs w:val="28"/>
                        <w:lang w:val="en-US" w:eastAsia="zh-CN" w:bidi="ar-SA"/>
                      </w:rPr>
                    </w:pPr>
                  </w:p>
                </w:txbxContent>
              </v:textbox>
            </v:shape>
          </w:pict>
        </mc:Fallback>
      </mc:AlternateContent>
    </w:r>
    <w:r>
      <w:rPr>
        <w:rFonts w:hint="eastAsia" w:ascii="Calibri" w:hAnsi="Calibri" w:eastAsia="宋体" w:cs="Times New Roman"/>
        <w:color w:val="auto"/>
        <w:kern w:val="2"/>
        <w:sz w:val="18"/>
        <w:szCs w:val="24"/>
        <w:lang w:val="en-US" w:eastAsia="zh-CN" w:bidi="ar-S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AMVnvPCAQAAcAMAAA4AAAAAAAAAAQAgAAAAHgEAAGRycy9lMm9Eb2MueG1sUEsF&#10;BgAAAAAGAAYAWQEAAFIFAAAAAA==&#10;">
              <v:fill on="f" focussize="0,0"/>
              <v:stroke on="f"/>
              <v:imagedata o:title=""/>
              <o:lock v:ext="edit" aspectratio="f"/>
              <v:textbox inset="0mm,0mm,0mm,0mm" style="mso-fit-shape-to-text:t;">
                <w:txbxContent>
                  <w:p>
                    <w:pPr>
                      <w:pStyle w:val="5"/>
                      <w:rPr>
                        <w:rFonts w:hint="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Style w:val="15"/>
                              <w:rFonts w:hint="eastAsia" w:ascii="宋体" w:hAnsi="宋体"/>
                              <w:sz w:val="28"/>
                              <w:szCs w:val="28"/>
                            </w:rPr>
                          </w:pPr>
                          <w:r>
                            <w:rPr>
                              <w:rFonts w:hint="eastAsia" w:ascii="宋体" w:hAnsi="宋体"/>
                              <w:sz w:val="28"/>
                              <w:szCs w:val="28"/>
                            </w:rPr>
                            <w:fldChar w:fldCharType="begin"/>
                          </w:r>
                          <w:r>
                            <w:rPr>
                              <w:rStyle w:val="15"/>
                              <w:rFonts w:hint="eastAsia" w:ascii="宋体" w:hAnsi="宋体"/>
                              <w:sz w:val="28"/>
                              <w:szCs w:val="28"/>
                            </w:rPr>
                            <w:instrText xml:space="preserve">PAGE  </w:instrText>
                          </w:r>
                          <w:r>
                            <w:rPr>
                              <w:rFonts w:hint="eastAsia" w:ascii="宋体" w:hAnsi="宋体"/>
                              <w:sz w:val="28"/>
                              <w:szCs w:val="28"/>
                            </w:rPr>
                            <w:fldChar w:fldCharType="separate"/>
                          </w:r>
                          <w:r>
                            <w:rPr>
                              <w:rStyle w:val="15"/>
                              <w:rFonts w:ascii="宋体" w:hAnsi="宋体"/>
                              <w:sz w:val="28"/>
                              <w:szCs w:val="28"/>
                            </w:rPr>
                            <w:t>- 1 -</w:t>
                          </w:r>
                          <w:r>
                            <w:rPr>
                              <w:rFonts w:hint="eastAsia" w:ascii="宋体" w:hAnsi="宋体"/>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HbJ3RLCAQAAcAMAAA4AAAAAAAAAAQAgAAAAHgEAAGRycy9lMm9Eb2MueG1sUEsF&#10;BgAAAAAGAAYAWQEAAFIFAAAAAA==&#10;">
              <v:fill on="f" focussize="0,0"/>
              <v:stroke on="f"/>
              <v:imagedata o:title=""/>
              <o:lock v:ext="edit" aspectratio="f"/>
              <v:textbox inset="0mm,0mm,0mm,0mm" style="mso-fit-shape-to-text:t;">
                <w:txbxContent>
                  <w:p>
                    <w:pPr>
                      <w:pStyle w:val="5"/>
                      <w:rPr>
                        <w:rStyle w:val="15"/>
                        <w:rFonts w:hint="eastAsia" w:ascii="宋体" w:hAnsi="宋体"/>
                        <w:sz w:val="28"/>
                        <w:szCs w:val="28"/>
                      </w:rPr>
                    </w:pPr>
                    <w:r>
                      <w:rPr>
                        <w:rFonts w:hint="eastAsia" w:ascii="宋体" w:hAnsi="宋体"/>
                        <w:sz w:val="28"/>
                        <w:szCs w:val="28"/>
                      </w:rPr>
                      <w:fldChar w:fldCharType="begin"/>
                    </w:r>
                    <w:r>
                      <w:rPr>
                        <w:rStyle w:val="15"/>
                        <w:rFonts w:hint="eastAsia" w:ascii="宋体" w:hAnsi="宋体"/>
                        <w:sz w:val="28"/>
                        <w:szCs w:val="28"/>
                      </w:rPr>
                      <w:instrText xml:space="preserve">PAGE  </w:instrText>
                    </w:r>
                    <w:r>
                      <w:rPr>
                        <w:rFonts w:hint="eastAsia" w:ascii="宋体" w:hAnsi="宋体"/>
                        <w:sz w:val="28"/>
                        <w:szCs w:val="28"/>
                      </w:rPr>
                      <w:fldChar w:fldCharType="separate"/>
                    </w:r>
                    <w:r>
                      <w:rPr>
                        <w:rStyle w:val="15"/>
                        <w:rFonts w:ascii="宋体" w:hAnsi="宋体"/>
                        <w:sz w:val="28"/>
                        <w:szCs w:val="28"/>
                      </w:rPr>
                      <w:t>- 1 -</w:t>
                    </w:r>
                    <w:r>
                      <w:rPr>
                        <w:rFonts w:hint="eastAsia" w:ascii="宋体" w:hAnsi="宋体"/>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Style w:val="15"/>
                              <w:rFonts w:ascii="宋体" w:hAnsi="宋体"/>
                              <w:sz w:val="28"/>
                              <w:szCs w:val="28"/>
                            </w:rPr>
                          </w:pPr>
                          <w:r>
                            <w:rPr>
                              <w:rFonts w:ascii="宋体" w:hAnsi="宋体"/>
                              <w:sz w:val="28"/>
                              <w:szCs w:val="28"/>
                            </w:rPr>
                            <w:fldChar w:fldCharType="begin"/>
                          </w:r>
                          <w:r>
                            <w:rPr>
                              <w:rStyle w:val="15"/>
                              <w:rFonts w:ascii="宋体" w:hAnsi="宋体"/>
                              <w:sz w:val="28"/>
                              <w:szCs w:val="28"/>
                            </w:rPr>
                            <w:instrText xml:space="preserve">PAGE  </w:instrText>
                          </w:r>
                          <w:r>
                            <w:rPr>
                              <w:rFonts w:ascii="宋体" w:hAnsi="宋体"/>
                              <w:sz w:val="28"/>
                              <w:szCs w:val="28"/>
                            </w:rPr>
                            <w:fldChar w:fldCharType="separate"/>
                          </w:r>
                          <w:r>
                            <w:rPr>
                              <w:rStyle w:val="15"/>
                              <w:rFonts w:ascii="宋体" w:hAnsi="宋体"/>
                              <w:sz w:val="28"/>
                              <w:szCs w:val="28"/>
                            </w:rPr>
                            <w:t>- 2 -</w:t>
                          </w:r>
                          <w:r>
                            <w:rPr>
                              <w:rFonts w:ascii="宋体" w:hAnsi="宋体"/>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KiraOrCAQAAcAMAAA4AAAAAAAAAAQAgAAAAHgEAAGRycy9lMm9Eb2MueG1sUEsF&#10;BgAAAAAGAAYAWQEAAFIFAAAAAA==&#10;">
              <v:fill on="f" focussize="0,0"/>
              <v:stroke on="f"/>
              <v:imagedata o:title=""/>
              <o:lock v:ext="edit" aspectratio="f"/>
              <v:textbox inset="0mm,0mm,0mm,0mm" style="mso-fit-shape-to-text:t;">
                <w:txbxContent>
                  <w:p>
                    <w:pPr>
                      <w:pStyle w:val="5"/>
                      <w:rPr>
                        <w:rStyle w:val="15"/>
                        <w:rFonts w:ascii="宋体" w:hAnsi="宋体"/>
                        <w:sz w:val="28"/>
                        <w:szCs w:val="28"/>
                      </w:rPr>
                    </w:pPr>
                    <w:r>
                      <w:rPr>
                        <w:rFonts w:ascii="宋体" w:hAnsi="宋体"/>
                        <w:sz w:val="28"/>
                        <w:szCs w:val="28"/>
                      </w:rPr>
                      <w:fldChar w:fldCharType="begin"/>
                    </w:r>
                    <w:r>
                      <w:rPr>
                        <w:rStyle w:val="15"/>
                        <w:rFonts w:ascii="宋体" w:hAnsi="宋体"/>
                        <w:sz w:val="28"/>
                        <w:szCs w:val="28"/>
                      </w:rPr>
                      <w:instrText xml:space="preserve">PAGE  </w:instrText>
                    </w:r>
                    <w:r>
                      <w:rPr>
                        <w:rFonts w:ascii="宋体" w:hAnsi="宋体"/>
                        <w:sz w:val="28"/>
                        <w:szCs w:val="28"/>
                      </w:rPr>
                      <w:fldChar w:fldCharType="separate"/>
                    </w:r>
                    <w:r>
                      <w:rPr>
                        <w:rStyle w:val="15"/>
                        <w:rFonts w:ascii="宋体" w:hAnsi="宋体"/>
                        <w:sz w:val="28"/>
                        <w:szCs w:val="28"/>
                      </w:rPr>
                      <w:t>- 2 -</w:t>
                    </w:r>
                    <w:r>
                      <w:rPr>
                        <w:rFonts w:ascii="宋体" w:hAnsi="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17C"/>
    <w:rsid w:val="00025291"/>
    <w:rsid w:val="0003004C"/>
    <w:rsid w:val="000305B6"/>
    <w:rsid w:val="00031020"/>
    <w:rsid w:val="0003284C"/>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85643"/>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4296"/>
    <w:rsid w:val="001243C4"/>
    <w:rsid w:val="0012798F"/>
    <w:rsid w:val="00127D04"/>
    <w:rsid w:val="001303D3"/>
    <w:rsid w:val="001316F8"/>
    <w:rsid w:val="00132688"/>
    <w:rsid w:val="001332BC"/>
    <w:rsid w:val="001340AD"/>
    <w:rsid w:val="0013461A"/>
    <w:rsid w:val="00137385"/>
    <w:rsid w:val="00140625"/>
    <w:rsid w:val="00142107"/>
    <w:rsid w:val="00145C0B"/>
    <w:rsid w:val="00145D2E"/>
    <w:rsid w:val="00146D53"/>
    <w:rsid w:val="00147907"/>
    <w:rsid w:val="00147A06"/>
    <w:rsid w:val="00151F28"/>
    <w:rsid w:val="00153017"/>
    <w:rsid w:val="00155A0E"/>
    <w:rsid w:val="001602EE"/>
    <w:rsid w:val="001608F4"/>
    <w:rsid w:val="0016316E"/>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1DB8"/>
    <w:rsid w:val="001B2E25"/>
    <w:rsid w:val="001B36FF"/>
    <w:rsid w:val="001B6A85"/>
    <w:rsid w:val="001C0E2E"/>
    <w:rsid w:val="001C21AB"/>
    <w:rsid w:val="001C291D"/>
    <w:rsid w:val="001C2E2C"/>
    <w:rsid w:val="001C2FB0"/>
    <w:rsid w:val="001C3230"/>
    <w:rsid w:val="001C4131"/>
    <w:rsid w:val="001C472D"/>
    <w:rsid w:val="001D0723"/>
    <w:rsid w:val="001D0ADB"/>
    <w:rsid w:val="001D2A39"/>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D8D"/>
    <w:rsid w:val="002438BD"/>
    <w:rsid w:val="00244F58"/>
    <w:rsid w:val="002502FA"/>
    <w:rsid w:val="002508F6"/>
    <w:rsid w:val="002516F7"/>
    <w:rsid w:val="00253497"/>
    <w:rsid w:val="00253505"/>
    <w:rsid w:val="002537D8"/>
    <w:rsid w:val="00253D8D"/>
    <w:rsid w:val="00254C91"/>
    <w:rsid w:val="0026009A"/>
    <w:rsid w:val="00260B18"/>
    <w:rsid w:val="00261C1B"/>
    <w:rsid w:val="00263BB4"/>
    <w:rsid w:val="00264B5A"/>
    <w:rsid w:val="00265F33"/>
    <w:rsid w:val="002701FE"/>
    <w:rsid w:val="00271599"/>
    <w:rsid w:val="002750B4"/>
    <w:rsid w:val="002755E6"/>
    <w:rsid w:val="00277086"/>
    <w:rsid w:val="0027732C"/>
    <w:rsid w:val="00284880"/>
    <w:rsid w:val="00286092"/>
    <w:rsid w:val="00290135"/>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C7FAF"/>
    <w:rsid w:val="002D063C"/>
    <w:rsid w:val="002D2CF6"/>
    <w:rsid w:val="002D31DC"/>
    <w:rsid w:val="002D3F3C"/>
    <w:rsid w:val="002D4032"/>
    <w:rsid w:val="002D5A5E"/>
    <w:rsid w:val="002D7462"/>
    <w:rsid w:val="002E0919"/>
    <w:rsid w:val="002E2F22"/>
    <w:rsid w:val="002E3CC3"/>
    <w:rsid w:val="002F5BA9"/>
    <w:rsid w:val="00301AC3"/>
    <w:rsid w:val="00302690"/>
    <w:rsid w:val="00302982"/>
    <w:rsid w:val="00303418"/>
    <w:rsid w:val="00316104"/>
    <w:rsid w:val="00317237"/>
    <w:rsid w:val="003204F2"/>
    <w:rsid w:val="00321960"/>
    <w:rsid w:val="00322E30"/>
    <w:rsid w:val="00324C04"/>
    <w:rsid w:val="003340DF"/>
    <w:rsid w:val="00334343"/>
    <w:rsid w:val="003347A0"/>
    <w:rsid w:val="00336F88"/>
    <w:rsid w:val="00340FF0"/>
    <w:rsid w:val="00341A6E"/>
    <w:rsid w:val="00342CC3"/>
    <w:rsid w:val="00343E0C"/>
    <w:rsid w:val="00344DA3"/>
    <w:rsid w:val="00350F9A"/>
    <w:rsid w:val="00351987"/>
    <w:rsid w:val="00351F4C"/>
    <w:rsid w:val="00352A64"/>
    <w:rsid w:val="0035334E"/>
    <w:rsid w:val="003557E4"/>
    <w:rsid w:val="00361A29"/>
    <w:rsid w:val="0036715B"/>
    <w:rsid w:val="00367E4A"/>
    <w:rsid w:val="00371465"/>
    <w:rsid w:val="0037414E"/>
    <w:rsid w:val="0037427E"/>
    <w:rsid w:val="00375606"/>
    <w:rsid w:val="003809D1"/>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21"/>
    <w:rsid w:val="003A31A0"/>
    <w:rsid w:val="003A326C"/>
    <w:rsid w:val="003A3696"/>
    <w:rsid w:val="003A42FA"/>
    <w:rsid w:val="003A5841"/>
    <w:rsid w:val="003A66EC"/>
    <w:rsid w:val="003A6755"/>
    <w:rsid w:val="003B1AA3"/>
    <w:rsid w:val="003B32B0"/>
    <w:rsid w:val="003B59D9"/>
    <w:rsid w:val="003C0C2B"/>
    <w:rsid w:val="003C1EB9"/>
    <w:rsid w:val="003C3249"/>
    <w:rsid w:val="003C3EA0"/>
    <w:rsid w:val="003C419C"/>
    <w:rsid w:val="003C41EC"/>
    <w:rsid w:val="003C4942"/>
    <w:rsid w:val="003D01EF"/>
    <w:rsid w:val="003D14CC"/>
    <w:rsid w:val="003D3B34"/>
    <w:rsid w:val="003D46AE"/>
    <w:rsid w:val="003D6174"/>
    <w:rsid w:val="003E323B"/>
    <w:rsid w:val="003E39D4"/>
    <w:rsid w:val="003E549A"/>
    <w:rsid w:val="003E5A89"/>
    <w:rsid w:val="003F1F24"/>
    <w:rsid w:val="003F595E"/>
    <w:rsid w:val="003F6574"/>
    <w:rsid w:val="003F6E09"/>
    <w:rsid w:val="003F728E"/>
    <w:rsid w:val="00402EDB"/>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47F6"/>
    <w:rsid w:val="004852B6"/>
    <w:rsid w:val="004854B1"/>
    <w:rsid w:val="004876D3"/>
    <w:rsid w:val="004909BB"/>
    <w:rsid w:val="0049197F"/>
    <w:rsid w:val="00493DD9"/>
    <w:rsid w:val="00496CF3"/>
    <w:rsid w:val="00496D57"/>
    <w:rsid w:val="004A135E"/>
    <w:rsid w:val="004A373F"/>
    <w:rsid w:val="004A464E"/>
    <w:rsid w:val="004A468A"/>
    <w:rsid w:val="004A4859"/>
    <w:rsid w:val="004B0832"/>
    <w:rsid w:val="004B1D23"/>
    <w:rsid w:val="004B5CC9"/>
    <w:rsid w:val="004B72BC"/>
    <w:rsid w:val="004C0FC4"/>
    <w:rsid w:val="004C1246"/>
    <w:rsid w:val="004C1EC2"/>
    <w:rsid w:val="004C4F15"/>
    <w:rsid w:val="004C61B8"/>
    <w:rsid w:val="004C7700"/>
    <w:rsid w:val="004D028D"/>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23D2"/>
    <w:rsid w:val="0056793D"/>
    <w:rsid w:val="00570476"/>
    <w:rsid w:val="005758B0"/>
    <w:rsid w:val="0057593B"/>
    <w:rsid w:val="005761DA"/>
    <w:rsid w:val="00576B9B"/>
    <w:rsid w:val="005775A5"/>
    <w:rsid w:val="00577A94"/>
    <w:rsid w:val="00577CD6"/>
    <w:rsid w:val="00581C4B"/>
    <w:rsid w:val="005820C9"/>
    <w:rsid w:val="0058211A"/>
    <w:rsid w:val="005847C1"/>
    <w:rsid w:val="005903E6"/>
    <w:rsid w:val="005906A6"/>
    <w:rsid w:val="00590E74"/>
    <w:rsid w:val="00593B63"/>
    <w:rsid w:val="005A1F8D"/>
    <w:rsid w:val="005A6087"/>
    <w:rsid w:val="005A67BB"/>
    <w:rsid w:val="005A740E"/>
    <w:rsid w:val="005B0120"/>
    <w:rsid w:val="005B0BCC"/>
    <w:rsid w:val="005B2090"/>
    <w:rsid w:val="005B2A3B"/>
    <w:rsid w:val="005B2AFE"/>
    <w:rsid w:val="005B39F8"/>
    <w:rsid w:val="005B3F4F"/>
    <w:rsid w:val="005B71C1"/>
    <w:rsid w:val="005C2B4E"/>
    <w:rsid w:val="005C663F"/>
    <w:rsid w:val="005C79E2"/>
    <w:rsid w:val="005D07B3"/>
    <w:rsid w:val="005D1611"/>
    <w:rsid w:val="005E5234"/>
    <w:rsid w:val="005E7F3F"/>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2581"/>
    <w:rsid w:val="0063404D"/>
    <w:rsid w:val="00634F1B"/>
    <w:rsid w:val="00637C57"/>
    <w:rsid w:val="00640710"/>
    <w:rsid w:val="00642967"/>
    <w:rsid w:val="00643C82"/>
    <w:rsid w:val="00650291"/>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B57"/>
    <w:rsid w:val="006A4BE5"/>
    <w:rsid w:val="006A55AD"/>
    <w:rsid w:val="006A65EF"/>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AF1"/>
    <w:rsid w:val="006F6C03"/>
    <w:rsid w:val="006F793B"/>
    <w:rsid w:val="006F7A1E"/>
    <w:rsid w:val="007014BE"/>
    <w:rsid w:val="00704458"/>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068"/>
    <w:rsid w:val="007562BD"/>
    <w:rsid w:val="007566F0"/>
    <w:rsid w:val="00756F77"/>
    <w:rsid w:val="00760780"/>
    <w:rsid w:val="00763624"/>
    <w:rsid w:val="0076441E"/>
    <w:rsid w:val="0076657F"/>
    <w:rsid w:val="00774B22"/>
    <w:rsid w:val="00777A09"/>
    <w:rsid w:val="007837F3"/>
    <w:rsid w:val="007904A7"/>
    <w:rsid w:val="00794C4E"/>
    <w:rsid w:val="007963A2"/>
    <w:rsid w:val="007A6F05"/>
    <w:rsid w:val="007B6642"/>
    <w:rsid w:val="007C5CDC"/>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63EC"/>
    <w:rsid w:val="007F6516"/>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4292"/>
    <w:rsid w:val="00910626"/>
    <w:rsid w:val="00910AC9"/>
    <w:rsid w:val="0091236B"/>
    <w:rsid w:val="009135EF"/>
    <w:rsid w:val="00913DB1"/>
    <w:rsid w:val="009150AA"/>
    <w:rsid w:val="009167EA"/>
    <w:rsid w:val="00916E26"/>
    <w:rsid w:val="00917CF5"/>
    <w:rsid w:val="009203AD"/>
    <w:rsid w:val="00920BA7"/>
    <w:rsid w:val="00921D50"/>
    <w:rsid w:val="00923ABF"/>
    <w:rsid w:val="009257CF"/>
    <w:rsid w:val="00926D34"/>
    <w:rsid w:val="00926E93"/>
    <w:rsid w:val="00927FAF"/>
    <w:rsid w:val="00930C66"/>
    <w:rsid w:val="00933440"/>
    <w:rsid w:val="00933AD4"/>
    <w:rsid w:val="00935D37"/>
    <w:rsid w:val="00936389"/>
    <w:rsid w:val="009367C7"/>
    <w:rsid w:val="0094058F"/>
    <w:rsid w:val="00940633"/>
    <w:rsid w:val="009413D6"/>
    <w:rsid w:val="009418C7"/>
    <w:rsid w:val="00942DC2"/>
    <w:rsid w:val="009433EF"/>
    <w:rsid w:val="00943770"/>
    <w:rsid w:val="0094465F"/>
    <w:rsid w:val="009446AB"/>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01BD"/>
    <w:rsid w:val="009A1E22"/>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192"/>
    <w:rsid w:val="00A03333"/>
    <w:rsid w:val="00A0337F"/>
    <w:rsid w:val="00A055DB"/>
    <w:rsid w:val="00A0595F"/>
    <w:rsid w:val="00A12557"/>
    <w:rsid w:val="00A12B15"/>
    <w:rsid w:val="00A1338D"/>
    <w:rsid w:val="00A156FF"/>
    <w:rsid w:val="00A15728"/>
    <w:rsid w:val="00A15F73"/>
    <w:rsid w:val="00A1646A"/>
    <w:rsid w:val="00A1658F"/>
    <w:rsid w:val="00A16646"/>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2ED"/>
    <w:rsid w:val="00A42678"/>
    <w:rsid w:val="00A44782"/>
    <w:rsid w:val="00A51056"/>
    <w:rsid w:val="00A52ADA"/>
    <w:rsid w:val="00A54A96"/>
    <w:rsid w:val="00A55F01"/>
    <w:rsid w:val="00A5779D"/>
    <w:rsid w:val="00A62053"/>
    <w:rsid w:val="00A66B95"/>
    <w:rsid w:val="00A67E61"/>
    <w:rsid w:val="00A72406"/>
    <w:rsid w:val="00A746B2"/>
    <w:rsid w:val="00A74FC4"/>
    <w:rsid w:val="00A8034A"/>
    <w:rsid w:val="00A81344"/>
    <w:rsid w:val="00A8144C"/>
    <w:rsid w:val="00A82198"/>
    <w:rsid w:val="00A85729"/>
    <w:rsid w:val="00A85F2C"/>
    <w:rsid w:val="00A869B9"/>
    <w:rsid w:val="00A871E1"/>
    <w:rsid w:val="00A872AA"/>
    <w:rsid w:val="00A87303"/>
    <w:rsid w:val="00A91C4C"/>
    <w:rsid w:val="00A925C8"/>
    <w:rsid w:val="00A93C26"/>
    <w:rsid w:val="00A9486C"/>
    <w:rsid w:val="00A94FB8"/>
    <w:rsid w:val="00A96790"/>
    <w:rsid w:val="00AA07BD"/>
    <w:rsid w:val="00AA3212"/>
    <w:rsid w:val="00AA3545"/>
    <w:rsid w:val="00AA4BD1"/>
    <w:rsid w:val="00AB27A7"/>
    <w:rsid w:val="00AB38D9"/>
    <w:rsid w:val="00AB7DAC"/>
    <w:rsid w:val="00AC1974"/>
    <w:rsid w:val="00AC2132"/>
    <w:rsid w:val="00AC4D0F"/>
    <w:rsid w:val="00AC6193"/>
    <w:rsid w:val="00AC685E"/>
    <w:rsid w:val="00AD04B0"/>
    <w:rsid w:val="00AD0907"/>
    <w:rsid w:val="00AD29ED"/>
    <w:rsid w:val="00AD5212"/>
    <w:rsid w:val="00AD57D5"/>
    <w:rsid w:val="00AE10AE"/>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55D3"/>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2D7"/>
    <w:rsid w:val="00B3342A"/>
    <w:rsid w:val="00B406F3"/>
    <w:rsid w:val="00B40DCF"/>
    <w:rsid w:val="00B41574"/>
    <w:rsid w:val="00B43C7B"/>
    <w:rsid w:val="00B4489A"/>
    <w:rsid w:val="00B4656E"/>
    <w:rsid w:val="00B47AB4"/>
    <w:rsid w:val="00B509ED"/>
    <w:rsid w:val="00B51750"/>
    <w:rsid w:val="00B54162"/>
    <w:rsid w:val="00B542D3"/>
    <w:rsid w:val="00B560B0"/>
    <w:rsid w:val="00B56A1E"/>
    <w:rsid w:val="00B57284"/>
    <w:rsid w:val="00B6035B"/>
    <w:rsid w:val="00B64E58"/>
    <w:rsid w:val="00B666ED"/>
    <w:rsid w:val="00B70DED"/>
    <w:rsid w:val="00B7317D"/>
    <w:rsid w:val="00B73E35"/>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77ED"/>
    <w:rsid w:val="00BC07D9"/>
    <w:rsid w:val="00BC0F68"/>
    <w:rsid w:val="00BC5ACB"/>
    <w:rsid w:val="00BD0A62"/>
    <w:rsid w:val="00BD0B0A"/>
    <w:rsid w:val="00BD156F"/>
    <w:rsid w:val="00BD1AAA"/>
    <w:rsid w:val="00BD1E82"/>
    <w:rsid w:val="00BD3403"/>
    <w:rsid w:val="00BD3778"/>
    <w:rsid w:val="00BD384E"/>
    <w:rsid w:val="00BD6CB8"/>
    <w:rsid w:val="00BE03FB"/>
    <w:rsid w:val="00BE1A66"/>
    <w:rsid w:val="00BE25B8"/>
    <w:rsid w:val="00BE5150"/>
    <w:rsid w:val="00BE5638"/>
    <w:rsid w:val="00BF04ED"/>
    <w:rsid w:val="00BF37DC"/>
    <w:rsid w:val="00BF60EE"/>
    <w:rsid w:val="00BF7550"/>
    <w:rsid w:val="00C0138E"/>
    <w:rsid w:val="00C023A4"/>
    <w:rsid w:val="00C03B39"/>
    <w:rsid w:val="00C03DAB"/>
    <w:rsid w:val="00C0403E"/>
    <w:rsid w:val="00C058DD"/>
    <w:rsid w:val="00C05D5F"/>
    <w:rsid w:val="00C062CC"/>
    <w:rsid w:val="00C06C13"/>
    <w:rsid w:val="00C076E1"/>
    <w:rsid w:val="00C10609"/>
    <w:rsid w:val="00C1296E"/>
    <w:rsid w:val="00C168B8"/>
    <w:rsid w:val="00C16B94"/>
    <w:rsid w:val="00C2004B"/>
    <w:rsid w:val="00C22AFA"/>
    <w:rsid w:val="00C23D1C"/>
    <w:rsid w:val="00C24A34"/>
    <w:rsid w:val="00C275DE"/>
    <w:rsid w:val="00C344E7"/>
    <w:rsid w:val="00C34C2B"/>
    <w:rsid w:val="00C471EE"/>
    <w:rsid w:val="00C5090D"/>
    <w:rsid w:val="00C516A1"/>
    <w:rsid w:val="00C531FF"/>
    <w:rsid w:val="00C53663"/>
    <w:rsid w:val="00C543E3"/>
    <w:rsid w:val="00C54463"/>
    <w:rsid w:val="00C625FA"/>
    <w:rsid w:val="00C644C7"/>
    <w:rsid w:val="00C659D0"/>
    <w:rsid w:val="00C65F9B"/>
    <w:rsid w:val="00C66A8C"/>
    <w:rsid w:val="00C70168"/>
    <w:rsid w:val="00C70F21"/>
    <w:rsid w:val="00C71935"/>
    <w:rsid w:val="00C72875"/>
    <w:rsid w:val="00C72993"/>
    <w:rsid w:val="00C74245"/>
    <w:rsid w:val="00C757DA"/>
    <w:rsid w:val="00C77A95"/>
    <w:rsid w:val="00C80569"/>
    <w:rsid w:val="00C81A60"/>
    <w:rsid w:val="00C82864"/>
    <w:rsid w:val="00C86D95"/>
    <w:rsid w:val="00C903C3"/>
    <w:rsid w:val="00C9086C"/>
    <w:rsid w:val="00C91FF9"/>
    <w:rsid w:val="00C92F43"/>
    <w:rsid w:val="00C944E5"/>
    <w:rsid w:val="00C96FC0"/>
    <w:rsid w:val="00CA30D7"/>
    <w:rsid w:val="00CA4F90"/>
    <w:rsid w:val="00CB3AE8"/>
    <w:rsid w:val="00CB3EA3"/>
    <w:rsid w:val="00CB5D2C"/>
    <w:rsid w:val="00CC14E4"/>
    <w:rsid w:val="00CC2443"/>
    <w:rsid w:val="00CD1675"/>
    <w:rsid w:val="00CD399D"/>
    <w:rsid w:val="00CD4642"/>
    <w:rsid w:val="00CD5308"/>
    <w:rsid w:val="00CD74E1"/>
    <w:rsid w:val="00CE2266"/>
    <w:rsid w:val="00CE5E6E"/>
    <w:rsid w:val="00CE618F"/>
    <w:rsid w:val="00CE6508"/>
    <w:rsid w:val="00CF51A5"/>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A1925"/>
    <w:rsid w:val="00DA35CA"/>
    <w:rsid w:val="00DA70FF"/>
    <w:rsid w:val="00DB0CCF"/>
    <w:rsid w:val="00DB4518"/>
    <w:rsid w:val="00DB69F4"/>
    <w:rsid w:val="00DB6B93"/>
    <w:rsid w:val="00DB6C2C"/>
    <w:rsid w:val="00DC0A4B"/>
    <w:rsid w:val="00DC0E9B"/>
    <w:rsid w:val="00DC21CC"/>
    <w:rsid w:val="00DC73F9"/>
    <w:rsid w:val="00DC7CCD"/>
    <w:rsid w:val="00DD19B7"/>
    <w:rsid w:val="00DD22BC"/>
    <w:rsid w:val="00DD2998"/>
    <w:rsid w:val="00DE279C"/>
    <w:rsid w:val="00DE52B4"/>
    <w:rsid w:val="00DE605E"/>
    <w:rsid w:val="00DF14B1"/>
    <w:rsid w:val="00DF1A59"/>
    <w:rsid w:val="00DF35B5"/>
    <w:rsid w:val="00DF5F69"/>
    <w:rsid w:val="00DF641D"/>
    <w:rsid w:val="00DF6480"/>
    <w:rsid w:val="00DF761C"/>
    <w:rsid w:val="00E0152C"/>
    <w:rsid w:val="00E05300"/>
    <w:rsid w:val="00E06B2D"/>
    <w:rsid w:val="00E06E06"/>
    <w:rsid w:val="00E108C6"/>
    <w:rsid w:val="00E11FB2"/>
    <w:rsid w:val="00E12664"/>
    <w:rsid w:val="00E1274D"/>
    <w:rsid w:val="00E13203"/>
    <w:rsid w:val="00E135BE"/>
    <w:rsid w:val="00E13CA2"/>
    <w:rsid w:val="00E1420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3F89"/>
    <w:rsid w:val="00E64BFD"/>
    <w:rsid w:val="00E64C4D"/>
    <w:rsid w:val="00E64EBF"/>
    <w:rsid w:val="00E70383"/>
    <w:rsid w:val="00E709DB"/>
    <w:rsid w:val="00E70F83"/>
    <w:rsid w:val="00E75B4B"/>
    <w:rsid w:val="00E8016B"/>
    <w:rsid w:val="00E80617"/>
    <w:rsid w:val="00E8163D"/>
    <w:rsid w:val="00E85B61"/>
    <w:rsid w:val="00E87088"/>
    <w:rsid w:val="00E95E66"/>
    <w:rsid w:val="00E966C3"/>
    <w:rsid w:val="00E97D6F"/>
    <w:rsid w:val="00E97EB0"/>
    <w:rsid w:val="00EA42FC"/>
    <w:rsid w:val="00EA5D2D"/>
    <w:rsid w:val="00EB67DA"/>
    <w:rsid w:val="00EC29B6"/>
    <w:rsid w:val="00EC2E26"/>
    <w:rsid w:val="00EC6399"/>
    <w:rsid w:val="00EC7B6C"/>
    <w:rsid w:val="00ED00C1"/>
    <w:rsid w:val="00ED059D"/>
    <w:rsid w:val="00ED11DD"/>
    <w:rsid w:val="00ED3579"/>
    <w:rsid w:val="00ED36C0"/>
    <w:rsid w:val="00ED6C3E"/>
    <w:rsid w:val="00ED6EE5"/>
    <w:rsid w:val="00ED7646"/>
    <w:rsid w:val="00ED7EF1"/>
    <w:rsid w:val="00EE610D"/>
    <w:rsid w:val="00EE642A"/>
    <w:rsid w:val="00EE6A58"/>
    <w:rsid w:val="00EF5668"/>
    <w:rsid w:val="00EF59D3"/>
    <w:rsid w:val="00EF7BA0"/>
    <w:rsid w:val="00F00288"/>
    <w:rsid w:val="00F017E0"/>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045"/>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F1779"/>
    <w:rsid w:val="00FF2340"/>
    <w:rsid w:val="00FF60C7"/>
    <w:rsid w:val="00FF7392"/>
    <w:rsid w:val="011410E7"/>
    <w:rsid w:val="030C5A8C"/>
    <w:rsid w:val="043D4CEA"/>
    <w:rsid w:val="04D871BC"/>
    <w:rsid w:val="074D26E8"/>
    <w:rsid w:val="083A6877"/>
    <w:rsid w:val="09832CC0"/>
    <w:rsid w:val="0D5D622D"/>
    <w:rsid w:val="0F6E701B"/>
    <w:rsid w:val="0FEF32CA"/>
    <w:rsid w:val="11095B8B"/>
    <w:rsid w:val="13404ED0"/>
    <w:rsid w:val="16036302"/>
    <w:rsid w:val="16A022AB"/>
    <w:rsid w:val="1CF777BC"/>
    <w:rsid w:val="1F0D30DD"/>
    <w:rsid w:val="1F1257AD"/>
    <w:rsid w:val="1F48029C"/>
    <w:rsid w:val="1FD3237E"/>
    <w:rsid w:val="21CE0EBF"/>
    <w:rsid w:val="240B3D5E"/>
    <w:rsid w:val="24485B15"/>
    <w:rsid w:val="25984E90"/>
    <w:rsid w:val="26AE3EAB"/>
    <w:rsid w:val="26C82B97"/>
    <w:rsid w:val="26D846AB"/>
    <w:rsid w:val="273E7C3F"/>
    <w:rsid w:val="28B640A0"/>
    <w:rsid w:val="29863B3B"/>
    <w:rsid w:val="2A615292"/>
    <w:rsid w:val="2F314E0D"/>
    <w:rsid w:val="2F7E1441"/>
    <w:rsid w:val="32D75A45"/>
    <w:rsid w:val="36B7F37B"/>
    <w:rsid w:val="370A6D13"/>
    <w:rsid w:val="399E0F98"/>
    <w:rsid w:val="3A4E2F34"/>
    <w:rsid w:val="3C6B26BF"/>
    <w:rsid w:val="3C8143BA"/>
    <w:rsid w:val="3DBA3C7F"/>
    <w:rsid w:val="3DF33796"/>
    <w:rsid w:val="3E2866CC"/>
    <w:rsid w:val="41D75940"/>
    <w:rsid w:val="460B0AA1"/>
    <w:rsid w:val="465327CE"/>
    <w:rsid w:val="48A045AB"/>
    <w:rsid w:val="4BB12688"/>
    <w:rsid w:val="4D1709C3"/>
    <w:rsid w:val="4F6A2AE2"/>
    <w:rsid w:val="51650C56"/>
    <w:rsid w:val="51796035"/>
    <w:rsid w:val="540F0375"/>
    <w:rsid w:val="54B76EC7"/>
    <w:rsid w:val="57CC07EF"/>
    <w:rsid w:val="57F9D9DD"/>
    <w:rsid w:val="58135360"/>
    <w:rsid w:val="58FC4859"/>
    <w:rsid w:val="59707D5E"/>
    <w:rsid w:val="5A9100DD"/>
    <w:rsid w:val="5C957B5A"/>
    <w:rsid w:val="5DC12740"/>
    <w:rsid w:val="5DCB6051"/>
    <w:rsid w:val="5F45041F"/>
    <w:rsid w:val="5FDDC8E8"/>
    <w:rsid w:val="60A76D6C"/>
    <w:rsid w:val="64B86B45"/>
    <w:rsid w:val="6C60119C"/>
    <w:rsid w:val="6FEF15C8"/>
    <w:rsid w:val="722D19B3"/>
    <w:rsid w:val="728F1E7C"/>
    <w:rsid w:val="72D52371"/>
    <w:rsid w:val="769F7AB2"/>
    <w:rsid w:val="778250D2"/>
    <w:rsid w:val="77BBD77A"/>
    <w:rsid w:val="7AA226C9"/>
    <w:rsid w:val="7DB40492"/>
    <w:rsid w:val="7DBF6B6F"/>
    <w:rsid w:val="7DF738CD"/>
    <w:rsid w:val="7E06559B"/>
    <w:rsid w:val="7E960D71"/>
    <w:rsid w:val="7EB9F2F5"/>
    <w:rsid w:val="7EFC8CB9"/>
    <w:rsid w:val="B5E7E378"/>
    <w:rsid w:val="BD7FD7E4"/>
    <w:rsid w:val="DFFE391E"/>
    <w:rsid w:val="F3DB4372"/>
    <w:rsid w:val="FFB75C29"/>
    <w:rsid w:val="FFDE04FB"/>
    <w:rsid w:val="FFDF14DB"/>
    <w:rsid w:val="FFFFFBB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character" w:default="1" w:styleId="14">
    <w:name w:val="Default Paragraph Font"/>
    <w:semiHidden/>
    <w:uiPriority w:val="0"/>
  </w:style>
  <w:style w:type="table" w:default="1" w:styleId="12">
    <w:name w:val="Normal Table"/>
    <w:semiHidden/>
    <w:uiPriority w:val="0"/>
    <w:tblPr>
      <w:tblStyle w:val="12"/>
      <w:tblLayout w:type="fixed"/>
      <w:tblCellMar>
        <w:top w:w="0" w:type="dxa"/>
        <w:left w:w="108" w:type="dxa"/>
        <w:bottom w:w="0" w:type="dxa"/>
        <w:right w:w="108" w:type="dxa"/>
      </w:tblCellMar>
    </w:tblPr>
  </w:style>
  <w:style w:type="paragraph" w:styleId="2">
    <w:name w:val="Body Text"/>
    <w:basedOn w:val="1"/>
    <w:next w:val="3"/>
    <w:uiPriority w:val="0"/>
    <w:pPr>
      <w:suppressAutoHyphens/>
      <w:bidi w:val="0"/>
      <w:spacing w:before="0" w:after="140" w:line="276" w:lineRule="auto"/>
    </w:pPr>
    <w:rPr>
      <w:rFonts w:ascii="Calibri" w:hAnsi="Calibri" w:eastAsia="宋体" w:cs="Times New Roman"/>
      <w:color w:val="auto"/>
      <w:szCs w:val="24"/>
      <w:lang w:bidi="ar-SA"/>
    </w:rPr>
  </w:style>
  <w:style w:type="paragraph" w:styleId="3">
    <w:name w:val="Body Text First Indent 2"/>
    <w:basedOn w:val="4"/>
    <w:next w:val="4"/>
    <w:qFormat/>
    <w:uiPriority w:val="0"/>
    <w:pPr>
      <w:ind w:firstLine="420" w:firstLineChars="200"/>
    </w:pPr>
  </w:style>
  <w:style w:type="paragraph" w:styleId="4">
    <w:name w:val="Body Text Indent"/>
    <w:basedOn w:val="1"/>
    <w:next w:val="5"/>
    <w:qFormat/>
    <w:uiPriority w:val="0"/>
    <w:pPr>
      <w:spacing w:after="120" w:afterLines="0" w:afterAutospacing="0"/>
      <w:ind w:left="420" w:leftChars="200"/>
    </w:pPr>
    <w:rPr>
      <w:rFonts w:ascii="Calibri" w:hAnsi="Calibri" w:eastAsia="宋体" w:cs="Mongolian Baiti"/>
      <w:szCs w:val="28"/>
      <w:lang w:bidi="mn-Mong-CN"/>
    </w:rPr>
  </w:style>
  <w:style w:type="paragraph" w:styleId="5">
    <w:name w:val="footer"/>
    <w:basedOn w:val="1"/>
    <w:link w:val="18"/>
    <w:uiPriority w:val="0"/>
    <w:pPr>
      <w:tabs>
        <w:tab w:val="center" w:pos="4153"/>
        <w:tab w:val="right" w:pos="8306"/>
      </w:tabs>
      <w:snapToGrid w:val="0"/>
      <w:jc w:val="left"/>
    </w:pPr>
    <w:rPr>
      <w:sz w:val="18"/>
      <w:szCs w:val="18"/>
    </w:rPr>
  </w:style>
  <w:style w:type="paragraph" w:styleId="6">
    <w:name w:val="caption"/>
    <w:basedOn w:val="1"/>
    <w:uiPriority w:val="0"/>
    <w:pPr>
      <w:widowControl w:val="0"/>
      <w:suppressLineNumbers/>
      <w:suppressAutoHyphens/>
      <w:bidi w:val="0"/>
      <w:spacing w:before="120" w:after="120"/>
    </w:pPr>
    <w:rPr>
      <w:rFonts w:ascii="Calibri" w:hAnsi="Calibri" w:eastAsia="宋体" w:cs="Times New Roman"/>
      <w:i/>
      <w:iCs/>
      <w:color w:val="auto"/>
      <w:sz w:val="24"/>
      <w:szCs w:val="24"/>
      <w:lang w:bidi="ar-SA"/>
    </w:rPr>
  </w:style>
  <w:style w:type="paragraph" w:styleId="7">
    <w:name w:val="Document Map"/>
    <w:basedOn w:val="1"/>
    <w:semiHidden/>
    <w:uiPriority w:val="0"/>
    <w:pPr>
      <w:shd w:val="clear" w:color="auto" w:fill="000080"/>
    </w:pPr>
  </w:style>
  <w:style w:type="paragraph" w:styleId="8">
    <w:name w:val="Date"/>
    <w:basedOn w:val="1"/>
    <w:next w:val="1"/>
    <w:link w:val="19"/>
    <w:uiPriority w:val="0"/>
    <w:pPr>
      <w:ind w:left="100" w:leftChars="2500"/>
    </w:pPr>
    <w:rPr>
      <w:rFonts w:ascii="仿宋_GB2312" w:eastAsia="仿宋_GB2312"/>
      <w:sz w:val="32"/>
    </w:rPr>
  </w:style>
  <w:style w:type="paragraph" w:styleId="9">
    <w:name w:val="Balloon Text"/>
    <w:basedOn w:val="1"/>
    <w:semiHidden/>
    <w:uiPriority w:val="0"/>
    <w:rPr>
      <w:sz w:val="18"/>
      <w:szCs w:val="18"/>
    </w:rPr>
  </w:style>
  <w:style w:type="paragraph" w:styleId="10">
    <w:name w:val="header"/>
    <w:basedOn w:val="1"/>
    <w:link w:val="20"/>
    <w:uiPriority w:val="0"/>
    <w:pPr>
      <w:pBdr>
        <w:bottom w:val="single" w:color="auto" w:sz="6" w:space="1"/>
      </w:pBdr>
      <w:tabs>
        <w:tab w:val="center" w:pos="4153"/>
        <w:tab w:val="right" w:pos="8306"/>
      </w:tabs>
      <w:snapToGrid w:val="0"/>
      <w:jc w:val="center"/>
    </w:pPr>
    <w:rPr>
      <w:sz w:val="18"/>
      <w:szCs w:val="18"/>
    </w:rPr>
  </w:style>
  <w:style w:type="paragraph" w:styleId="11">
    <w:name w:val="List"/>
    <w:basedOn w:val="2"/>
    <w:uiPriority w:val="0"/>
  </w:style>
  <w:style w:type="table" w:styleId="13">
    <w:name w:val="Table Grid"/>
    <w:basedOn w:val="12"/>
    <w:uiPriority w:val="0"/>
    <w:pPr>
      <w:widowControl w:val="0"/>
      <w:jc w:val="both"/>
    </w:pPr>
    <w:tblPr>
      <w:tblStyle w:val="1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5">
    <w:name w:val="page number"/>
    <w:basedOn w:val="14"/>
    <w:uiPriority w:val="0"/>
  </w:style>
  <w:style w:type="paragraph" w:customStyle="1" w:styleId="16">
    <w:name w:val="Index"/>
    <w:basedOn w:val="1"/>
    <w:uiPriority w:val="0"/>
    <w:pPr>
      <w:widowControl w:val="0"/>
      <w:suppressLineNumbers/>
      <w:suppressAutoHyphens/>
      <w:bidi w:val="0"/>
    </w:pPr>
    <w:rPr>
      <w:rFonts w:ascii="Calibri" w:hAnsi="Calibri" w:eastAsia="宋体" w:cs="Times New Roman"/>
      <w:color w:val="auto"/>
      <w:szCs w:val="24"/>
      <w:lang w:bidi="ar-SA"/>
    </w:rPr>
  </w:style>
  <w:style w:type="paragraph" w:customStyle="1" w:styleId="17">
    <w:name w:val="Heading"/>
    <w:basedOn w:val="1"/>
    <w:next w:val="2"/>
    <w:uiPriority w:val="0"/>
    <w:pPr>
      <w:keepNext/>
      <w:widowControl w:val="0"/>
      <w:suppressAutoHyphens/>
      <w:bidi w:val="0"/>
      <w:spacing w:before="240" w:after="120"/>
    </w:pPr>
    <w:rPr>
      <w:rFonts w:ascii="Liberation Sans" w:hAnsi="Liberation Sans" w:eastAsia="Noto Sans CJK SC Regular" w:cs="Noto Sans CJK SC Regular"/>
      <w:color w:val="auto"/>
      <w:sz w:val="28"/>
      <w:szCs w:val="28"/>
      <w:lang w:bidi="ar-SA"/>
    </w:rPr>
  </w:style>
  <w:style w:type="character" w:customStyle="1" w:styleId="18">
    <w:name w:val=" Char Char"/>
    <w:basedOn w:val="14"/>
    <w:link w:val="5"/>
    <w:semiHidden/>
    <w:uiPriority w:val="99"/>
    <w:rPr>
      <w:rFonts w:ascii="Calibri" w:hAnsi="Calibri" w:eastAsia="宋体" w:cs="Mongolian Baiti"/>
      <w:kern w:val="2"/>
      <w:sz w:val="18"/>
      <w:szCs w:val="22"/>
    </w:rPr>
  </w:style>
  <w:style w:type="character" w:customStyle="1" w:styleId="19">
    <w:name w:val=" Char Char2"/>
    <w:basedOn w:val="14"/>
    <w:link w:val="8"/>
    <w:uiPriority w:val="0"/>
    <w:rPr>
      <w:rFonts w:ascii="仿宋_GB2312" w:hAnsi="Times New Roman" w:eastAsia="仿宋_GB2312" w:cs="Times New Roman"/>
      <w:kern w:val="2"/>
      <w:sz w:val="32"/>
      <w:szCs w:val="24"/>
      <w:lang w:bidi="ar-SA"/>
    </w:rPr>
  </w:style>
  <w:style w:type="character" w:customStyle="1" w:styleId="20">
    <w:name w:val=" Char Char1"/>
    <w:basedOn w:val="14"/>
    <w:link w:val="10"/>
    <w:semiHidden/>
    <w:uiPriority w:val="99"/>
    <w:rPr>
      <w:rFonts w:ascii="Calibri" w:hAnsi="Calibri" w:eastAsia="宋体" w:cs="Mongolian Baiti"/>
      <w:kern w:val="2"/>
      <w:sz w:val="18"/>
      <w:szCs w:val="22"/>
    </w:rPr>
  </w:style>
  <w:style w:type="character" w:customStyle="1" w:styleId="21">
    <w:name w:val="默认段落字体1"/>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13</Words>
  <Characters>79</Characters>
  <Lines>1</Lines>
  <Paragraphs>1</Paragraphs>
  <TotalTime>3</TotalTime>
  <ScaleCrop>false</ScaleCrop>
  <LinksUpToDate>false</LinksUpToDate>
  <CharactersWithSpaces>91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2012-09-19T13:07:00Z</dcterms:created>
  <dc:creator>王蕾:打印</dc:creator>
  <cp:lastModifiedBy>zwfw</cp:lastModifiedBy>
  <cp:lastPrinted>2022-05-30T09:52:06Z</cp:lastPrinted>
  <dcterms:modified xsi:type="dcterms:W3CDTF">2022-06-06T07:30:41Z</dcterms:modified>
  <dc:title>_x0001_</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