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推进马铃薯产业链发展六条政策措施的通知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为推动自治区由马铃薯产业大区向产业强区迈进，聚焦“马铃薯百亿级产业扩规提质”目标，针对马铃薯单产偏低、科技支撑能力弱、企业融资难、现代化储藏设施数量不足和品牌不强等问题，按照马铃薯产业链发展需求，结合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自治区人民政府办公厅关于促进马铃薯产业高质量发展的实施意见》（内政办发〔2020〕35号）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有关要求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经自治区人民政府同意，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推进马铃薯产业链发展六条政策措施通知如下。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  <w:t>支持种薯繁育产业做强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支持育种创新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，实施马铃薯种业科技创新重大示范工程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马铃薯联合育种攻关给予支持，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制定联合攻关方案，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建立自治区马铃薯育种联合攻关团队，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遴选首席科学家，建立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健全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效育种体系，培育抗旱鲜食、加工专用优良品种。支持种薯繁育基地建设，统筹国家和自治区制种大县奖励资金，支持马铃薯良繁基地建设，鼓励旱耕地种植优质种薯，提升基地服务能力和水平，同时支持开展种薯质量认证，提升种薯质量。支持推广自主种薯品种，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自主知识产权品种在区内年推广面积10万亩以上的，一次性奖励500万元；年推广面积在30万亩以上的，一次性奖励1000万元。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  <w:t>（责任单位：自治区农牧厅、科技厅、财政厅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</w:rPr>
        <w:t>按职责分工落实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  <w:t>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支持实施单产提升工程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实施马铃薯生产者补贴，自治区在国家政策要求范围内，从玉米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大豆生产者补贴中调剂部分资金，对马铃薯种植者给予补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贴。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将马铃薯产量作为生产者补贴资金分配的参考因素，引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导各地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将补贴资金更多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支持提升单产，并向优势主产区集中。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支持轮作倒茬，实施3年及以上轮作，解决连作障碍，减少土传病害，提升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质量和单产。参照国家耕地轮作每亩150元的补贴标准，对乌兰察布市等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优势主产区轮作补贴面积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稳定在100万亩以上。支持社会化服务，转变小农户分散经营，引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导各类服务组织为小农户提供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代耕代种、代管代收、全程托管等社会化服务，集成推广新品种、新技术，促进规模集约化经营，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落实单产提升技术措施，原则上财政补助占服务价格的比例不超过30%，单季作物亩均补助总额不超过100元，年服务面积不低于100万亩次。支持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高产高效示范区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，统筹国家和自治区相关资金，以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主产盟市的重点旗县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为主，建设优质高效种植示范区，提升水肥一体化应用水平，科学控肥控药控水，支持旱耕地种植优质马铃薯，带动增产增效。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支持加工订单补贴，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马铃薯加工企业与区内种植户建立稳定的利益联结机制，对标准化种植且形成有效订单的，给予收购主体20元/吨的补贴。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  <w:t>（责任单位：自治区农牧厅、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发展改革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  <w:t>委、财政厅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按职责分工落实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  <w:t>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  <w:t>扶持产地建设现代化冷藏保鲜设施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引导农民合作社等新型经营主体，根据马铃薯种植实际需求，合理建设通风贮藏库、机械冷库、气调贮藏库、预冷及配套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产地冷藏保鲜等处理设施设备，保障种薯和商品薯高质量储存。对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产地种植者新建自用马铃薯现代化冷藏保鲜设施的，按照设施农业附属设施用地管理，按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照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要求进行备案管理；建设经营性马铃薯现代化保鲜仓储设施的，占用一般耕地的优先安排落实耕地“进出平衡”。统筹利用中央、自治区财政衔接推进乡村振兴补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助资金支持建设马铃薯现代冷藏保鲜设施，采取先建后补方式，每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年择优确定联农带农能力强的补贴对象，对产地种植者新建或改建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指无冷藏设备的普通储藏库改造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库容2000吨以上的现代化冷藏保鲜设施，按照建设总造价的30%、单体设施最多100万元进行补贴，鼓励盟市和旗县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（市、区）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财政在自治区补贴的基础上再给予适当补贴。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</w:rPr>
        <w:t>（责任单位：自治区农牧厅、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  <w:lang w:eastAsia="zh-CN"/>
        </w:rPr>
        <w:t>发展改革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</w:rPr>
        <w:t>委、财政厅、自然资源厅、乡村振兴局按职责分工落实）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  <w:t>提升马铃薯品牌影响力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支持马铃薯产业品牌培育和市场营销，鼓励企业提升产品质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kern w:val="2"/>
          <w:sz w:val="32"/>
          <w:szCs w:val="32"/>
        </w:rPr>
        <w:t>量和标准化水平，以“蒙”字标为引领，统一标准、统一品牌、统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一包装、统一宣传、统一营销，打造内蒙古马铃薯区域品牌。推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kern w:val="2"/>
          <w:sz w:val="32"/>
          <w:szCs w:val="32"/>
        </w:rPr>
        <w:t>进“蒙”字标认证，对获“蒙”字标认证的企业，给予检验检测、认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11"/>
          <w:kern w:val="2"/>
          <w:sz w:val="32"/>
          <w:szCs w:val="32"/>
        </w:rPr>
        <w:t>证等费用5万元补贴。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pacing w:val="11"/>
          <w:kern w:val="2"/>
          <w:sz w:val="32"/>
          <w:szCs w:val="32"/>
          <w:shd w:val="clear" w:color="auto" w:fill="FFFFFF"/>
        </w:rPr>
        <w:t>（责任单位：自治区市场监管局、财政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厅、农牧厅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</w:rPr>
        <w:t>按职责分工落实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</w:rPr>
        <w:t>加强马铃薯产业科技支撑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支持马铃薯加工产品研发，依托自治区科技专项资金和科技基金等，重点支持企业加大淀粉延伸领域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等精深加工产品、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马铃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薯与牛羊肉和燕麦等食品搭配的预制菜、休闲食品等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研发力度。支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clear" w:color="auto" w:fill="FFFFFF"/>
        </w:rPr>
        <w:t>持收获机械和加工设备研发应用，充分发挥自治区科技专项资金和科技基金作用，优先支持马铃薯收获机械和加工设备研发，支持企业和科研院所开展马铃薯联合收获和捡拾装袋、精深加工设备等研发和应用。支持高层次人才引进，支持科研院所、涉农高校、企业等引进马铃薯全链条国内外高层次人才，在人才引进政策扶持、提升研发条件等方面给予倾斜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（责任单位：自治区科技厅、工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业和信息化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厅、人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力资源社会保障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厅、财政厅、农牧厅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shd w:val="clear" w:color="auto" w:fill="FFFFFF"/>
        </w:rPr>
        <w:t>按职责分工落实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强化全产业金融支持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支持出台专项金融产品，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银行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业金融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机构要根据马铃薯及种薯生产销售周期特点，推广一次授信、随借随还、循环使用的信贷产品，加大对种薯企业、种植大户、精深加工企业的信贷支持力度。支持各地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申请使用专项债券推进产业链发展。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提高融资担保机构增信支持力度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，进一步发挥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农牧业融资担保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公司等政府性融资担保机构作用，支持融资担保机构为符合条件的马铃薯加工企业新建和扩大生产、引进的马铃薯先进机械研发和生产企业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种植大户、家庭农场、合作社等农牧业新型经营主体提供贷款担保，降低担保费率。同时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鼓励各地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通过招商引资，引进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马铃薯加工等企业，并为其提供贷款担保。推动期货上市交易，改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善马铃薯现货基础条件，培育质检机构，提高现货数据质量，积极推动马铃薯期货上市交易。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（责任单位：自治区地方金融监管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shd w:val="clear" w:color="auto" w:fill="FFFFFF"/>
        </w:rPr>
        <w:t>局、财政厅、商务厅、农牧厅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shd w:val="clear" w:color="auto" w:fill="FFFFFF"/>
          <w:lang w:eastAsia="zh-CN"/>
        </w:rPr>
        <w:t>，国家金融监管总局内蒙古监管局、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shd w:val="clear" w:color="auto" w:fill="FFFFFF"/>
        </w:rPr>
        <w:t>内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蒙古证监局、中国人民银行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  <w:lang w:eastAsia="zh-CN"/>
        </w:rPr>
        <w:t>内蒙古分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行、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  <w:lang w:eastAsia="zh-CN"/>
        </w:rPr>
        <w:t>内蒙古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农牧业融资担保有限公司按职责分工落实）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上述政策执行时间暂定为2023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年至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2025年，根据实施情况进行调整，涉及新增或调整自治区财政支持的，各责任部门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</w:rPr>
        <w:t>要相应调整资金管理和绩效考核办法，确保各项政策落地实施。各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牵头部门要及时总结支持政策实施情况和效果，根据情况建立政策动态调整优化机制，适时调整支持措施。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shd w:val="clear" w:color="auto" w:fill="FFFFFF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shd w:val="clear" w:color="auto" w:fill="FFFFFF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Cs w:val="32"/>
          <w:shd w:val="clear" w:color="auto" w:fill="FFFFFF"/>
          <w:lang w:val="en-US" w:eastAsia="zh-CN"/>
        </w:rPr>
        <w:t xml:space="preserve">                             2023年9月6日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default" w:ascii="方正仿宋_GBK" w:hAnsi="方正仿宋_GBK" w:eastAsia="方正仿宋_GBK" w:cs="方正仿宋_GBK"/>
          <w:b w:val="0"/>
          <w:bCs w:val="0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Cs w:val="32"/>
          <w:shd w:val="clear" w:color="auto" w:fill="FFFFFF"/>
          <w:lang w:val="en-US" w:eastAsia="zh-CN"/>
        </w:rPr>
        <w:t>（此件公开发布）</w:t>
      </w:r>
    </w:p>
    <w:bookmarkEnd w:id="0"/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wordWrap w:val="0"/>
        <w:spacing w:line="660" w:lineRule="exac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5"/>
        <w:tblW w:w="896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60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7" w:leftChars="532" w:right="210" w:rightChars="100" w:firstLine="19" w:firstLineChars="7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</w:t>
            </w:r>
            <w:r>
              <w:rPr>
                <w:rFonts w:hint="eastAsia" w:ascii="仿宋_GB2312" w:eastAsia="仿宋_GB2312"/>
                <w:spacing w:val="-6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pacing w:val="-6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0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3732530</wp:posOffset>
            </wp:positionH>
            <wp:positionV relativeFrom="paragraph">
              <wp:posOffset>100965</wp:posOffset>
            </wp:positionV>
            <wp:extent cx="1790700" cy="419100"/>
            <wp:effectExtent l="0" t="0" r="0" b="0"/>
            <wp:wrapSquare wrapText="bothSides"/>
            <wp:docPr id="2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7563485</wp:posOffset>
                </wp:positionH>
                <wp:positionV relativeFrom="margin">
                  <wp:posOffset>8509635</wp:posOffset>
                </wp:positionV>
                <wp:extent cx="4244340" cy="715645"/>
                <wp:effectExtent l="0" t="0" r="3810" b="825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4434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flip:x;margin-left:595.55pt;margin-top:670.05pt;height:56.35pt;width:334.2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b4ZMJ2wAAAA8BAAAPAAAAAAAAAAEAIAAAACIAAABk&#10;cnMvZG93bnJldi54bWxQSwECFAAUAAAACACHTuJA1GhH6MoBAABmAwAADgAAAAAAAAABACAAAAAq&#10;AQAAZHJzL2Uyb0RvYy54bWxQSwUGAAAAAAYABgBZAQAAZ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E72BD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791A"/>
    <w:rsid w:val="0065171D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044"/>
    <w:rsid w:val="00C10609"/>
    <w:rsid w:val="00C1296E"/>
    <w:rsid w:val="00C13C87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2604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13E5632"/>
    <w:rsid w:val="023B43DC"/>
    <w:rsid w:val="0260135D"/>
    <w:rsid w:val="03CB34C6"/>
    <w:rsid w:val="03FB27F4"/>
    <w:rsid w:val="05E57B3C"/>
    <w:rsid w:val="06DF737F"/>
    <w:rsid w:val="074D26E8"/>
    <w:rsid w:val="086F50B7"/>
    <w:rsid w:val="09126160"/>
    <w:rsid w:val="097519E8"/>
    <w:rsid w:val="0A3526AA"/>
    <w:rsid w:val="0B0E495C"/>
    <w:rsid w:val="0D6C6749"/>
    <w:rsid w:val="0DCF53DE"/>
    <w:rsid w:val="0E6C2B02"/>
    <w:rsid w:val="0F9F21A3"/>
    <w:rsid w:val="0FF6B9B9"/>
    <w:rsid w:val="10527068"/>
    <w:rsid w:val="106A54C3"/>
    <w:rsid w:val="10BD7330"/>
    <w:rsid w:val="10EE3164"/>
    <w:rsid w:val="110F26B1"/>
    <w:rsid w:val="1187195F"/>
    <w:rsid w:val="12051355"/>
    <w:rsid w:val="127A2AC2"/>
    <w:rsid w:val="12A128B7"/>
    <w:rsid w:val="13404ED0"/>
    <w:rsid w:val="14743A39"/>
    <w:rsid w:val="14BD7FA9"/>
    <w:rsid w:val="15143D04"/>
    <w:rsid w:val="16B17BE2"/>
    <w:rsid w:val="16FE72BD"/>
    <w:rsid w:val="17EE6C2E"/>
    <w:rsid w:val="18042CAC"/>
    <w:rsid w:val="185718B2"/>
    <w:rsid w:val="18EA6B85"/>
    <w:rsid w:val="19D74B7A"/>
    <w:rsid w:val="19DBD43C"/>
    <w:rsid w:val="19F33E8E"/>
    <w:rsid w:val="1A7D41CF"/>
    <w:rsid w:val="1B886FAC"/>
    <w:rsid w:val="1B8E7B5F"/>
    <w:rsid w:val="1B9A0236"/>
    <w:rsid w:val="1BB866D1"/>
    <w:rsid w:val="1BCF5784"/>
    <w:rsid w:val="1BF73A65"/>
    <w:rsid w:val="1D6F0022"/>
    <w:rsid w:val="1D9A64EE"/>
    <w:rsid w:val="1D9F1593"/>
    <w:rsid w:val="1DFEEA50"/>
    <w:rsid w:val="1E973284"/>
    <w:rsid w:val="1EFB171E"/>
    <w:rsid w:val="1F37187A"/>
    <w:rsid w:val="1F57002E"/>
    <w:rsid w:val="1F8FA7CC"/>
    <w:rsid w:val="1FBD3784"/>
    <w:rsid w:val="1FC5BADF"/>
    <w:rsid w:val="1FD3237E"/>
    <w:rsid w:val="1FFD30EB"/>
    <w:rsid w:val="21121DD5"/>
    <w:rsid w:val="21CE0EBF"/>
    <w:rsid w:val="2306318F"/>
    <w:rsid w:val="238702B2"/>
    <w:rsid w:val="23E78252"/>
    <w:rsid w:val="24485B15"/>
    <w:rsid w:val="24644DDD"/>
    <w:rsid w:val="24B755B5"/>
    <w:rsid w:val="25F87D8D"/>
    <w:rsid w:val="266A2E58"/>
    <w:rsid w:val="26EA184E"/>
    <w:rsid w:val="277549C6"/>
    <w:rsid w:val="27ECEF7D"/>
    <w:rsid w:val="28F22403"/>
    <w:rsid w:val="2B6D444F"/>
    <w:rsid w:val="2B9D4F75"/>
    <w:rsid w:val="2BAC3537"/>
    <w:rsid w:val="2BE72AAC"/>
    <w:rsid w:val="2BFE087D"/>
    <w:rsid w:val="2C427CA1"/>
    <w:rsid w:val="2DE337C8"/>
    <w:rsid w:val="2DFFDF0D"/>
    <w:rsid w:val="2E45C89E"/>
    <w:rsid w:val="2E7141BC"/>
    <w:rsid w:val="2EDD186C"/>
    <w:rsid w:val="2EFEAE6F"/>
    <w:rsid w:val="2F7F2917"/>
    <w:rsid w:val="2FBF191A"/>
    <w:rsid w:val="2FFD5808"/>
    <w:rsid w:val="31456461"/>
    <w:rsid w:val="326C1CFE"/>
    <w:rsid w:val="334419A8"/>
    <w:rsid w:val="33EF5586"/>
    <w:rsid w:val="347102F3"/>
    <w:rsid w:val="34C763BC"/>
    <w:rsid w:val="357448C3"/>
    <w:rsid w:val="369D106C"/>
    <w:rsid w:val="3740370A"/>
    <w:rsid w:val="379F6822"/>
    <w:rsid w:val="37C76272"/>
    <w:rsid w:val="37FD58D2"/>
    <w:rsid w:val="38B14C58"/>
    <w:rsid w:val="38DE265F"/>
    <w:rsid w:val="3A27548B"/>
    <w:rsid w:val="3A301B2F"/>
    <w:rsid w:val="3A50088A"/>
    <w:rsid w:val="3ABF35B7"/>
    <w:rsid w:val="3AFF5C14"/>
    <w:rsid w:val="3B48400D"/>
    <w:rsid w:val="3B8D76CD"/>
    <w:rsid w:val="3BDF42D4"/>
    <w:rsid w:val="3BF7B7E2"/>
    <w:rsid w:val="3BFF2CA8"/>
    <w:rsid w:val="3CB63434"/>
    <w:rsid w:val="3CF06ADA"/>
    <w:rsid w:val="3CFBBA7E"/>
    <w:rsid w:val="3CFF1B44"/>
    <w:rsid w:val="3CFFF5FA"/>
    <w:rsid w:val="3D2F71A5"/>
    <w:rsid w:val="3DF4403D"/>
    <w:rsid w:val="3DF70759"/>
    <w:rsid w:val="3DFB88FF"/>
    <w:rsid w:val="3DFC8D63"/>
    <w:rsid w:val="3E055845"/>
    <w:rsid w:val="3E80680F"/>
    <w:rsid w:val="3EA31BF6"/>
    <w:rsid w:val="3EBFFE25"/>
    <w:rsid w:val="3ECF94C6"/>
    <w:rsid w:val="3EFC7825"/>
    <w:rsid w:val="3F714FDA"/>
    <w:rsid w:val="3F95A364"/>
    <w:rsid w:val="3FB739F4"/>
    <w:rsid w:val="3FD09E3B"/>
    <w:rsid w:val="3FF7BFC7"/>
    <w:rsid w:val="40852635"/>
    <w:rsid w:val="432B1F61"/>
    <w:rsid w:val="44C87DE4"/>
    <w:rsid w:val="44FF8012"/>
    <w:rsid w:val="4523012A"/>
    <w:rsid w:val="456E4695"/>
    <w:rsid w:val="45D5393E"/>
    <w:rsid w:val="45DC52F5"/>
    <w:rsid w:val="45F7CD7B"/>
    <w:rsid w:val="46030C39"/>
    <w:rsid w:val="46E55D13"/>
    <w:rsid w:val="46E836E1"/>
    <w:rsid w:val="46FF3AC2"/>
    <w:rsid w:val="47396C37"/>
    <w:rsid w:val="48163A08"/>
    <w:rsid w:val="494B7E0D"/>
    <w:rsid w:val="4A8621D1"/>
    <w:rsid w:val="4B3C8CD4"/>
    <w:rsid w:val="4B8A6060"/>
    <w:rsid w:val="4BB12688"/>
    <w:rsid w:val="4BBC8F6E"/>
    <w:rsid w:val="4CA26BF2"/>
    <w:rsid w:val="4DC83338"/>
    <w:rsid w:val="4DE75A41"/>
    <w:rsid w:val="4E0B3EAD"/>
    <w:rsid w:val="4EB078D5"/>
    <w:rsid w:val="4EBF2DEF"/>
    <w:rsid w:val="4EC4474E"/>
    <w:rsid w:val="4EED8B9D"/>
    <w:rsid w:val="4FBF2204"/>
    <w:rsid w:val="4FDEADBF"/>
    <w:rsid w:val="4FE5E199"/>
    <w:rsid w:val="4FFD8D56"/>
    <w:rsid w:val="4FFFC078"/>
    <w:rsid w:val="50483546"/>
    <w:rsid w:val="507F5D5D"/>
    <w:rsid w:val="50A77BFE"/>
    <w:rsid w:val="512728B0"/>
    <w:rsid w:val="51650C56"/>
    <w:rsid w:val="522D57C1"/>
    <w:rsid w:val="541D103D"/>
    <w:rsid w:val="55C860B7"/>
    <w:rsid w:val="56770BB4"/>
    <w:rsid w:val="567BDE7D"/>
    <w:rsid w:val="57242296"/>
    <w:rsid w:val="57330634"/>
    <w:rsid w:val="576F6A68"/>
    <w:rsid w:val="577F4CC7"/>
    <w:rsid w:val="57FD16B8"/>
    <w:rsid w:val="57FE75DD"/>
    <w:rsid w:val="58414C28"/>
    <w:rsid w:val="5A5512EC"/>
    <w:rsid w:val="5BAE3879"/>
    <w:rsid w:val="5BDD370B"/>
    <w:rsid w:val="5BEB0E0F"/>
    <w:rsid w:val="5C554103"/>
    <w:rsid w:val="5CBBBAA7"/>
    <w:rsid w:val="5D211DB5"/>
    <w:rsid w:val="5D7F383F"/>
    <w:rsid w:val="5DDB4C09"/>
    <w:rsid w:val="5DF9DBE9"/>
    <w:rsid w:val="5E7F89F8"/>
    <w:rsid w:val="5ED95A5A"/>
    <w:rsid w:val="5ED9D2E7"/>
    <w:rsid w:val="5EE7C76E"/>
    <w:rsid w:val="5EEE7F6F"/>
    <w:rsid w:val="5EFE2D96"/>
    <w:rsid w:val="5EFF25D6"/>
    <w:rsid w:val="5F0A5D7A"/>
    <w:rsid w:val="5F5C4E7C"/>
    <w:rsid w:val="5F6C7E28"/>
    <w:rsid w:val="5F8623DB"/>
    <w:rsid w:val="5F9C0B61"/>
    <w:rsid w:val="5F9DEA76"/>
    <w:rsid w:val="5F9E116F"/>
    <w:rsid w:val="5FCFBAC0"/>
    <w:rsid w:val="5FEF945A"/>
    <w:rsid w:val="5FFCC778"/>
    <w:rsid w:val="5FFDBE53"/>
    <w:rsid w:val="5FFF25A5"/>
    <w:rsid w:val="5FFFF6D1"/>
    <w:rsid w:val="60887A5D"/>
    <w:rsid w:val="61EF0B12"/>
    <w:rsid w:val="61FD6726"/>
    <w:rsid w:val="61FF713E"/>
    <w:rsid w:val="62183C02"/>
    <w:rsid w:val="62A00E60"/>
    <w:rsid w:val="62CD483A"/>
    <w:rsid w:val="63FF813D"/>
    <w:rsid w:val="64B86B45"/>
    <w:rsid w:val="64FB519D"/>
    <w:rsid w:val="64FFEF36"/>
    <w:rsid w:val="650A3BE9"/>
    <w:rsid w:val="663F140E"/>
    <w:rsid w:val="66BDE3F7"/>
    <w:rsid w:val="677F8558"/>
    <w:rsid w:val="67A53848"/>
    <w:rsid w:val="67A5BA76"/>
    <w:rsid w:val="67AF5DA5"/>
    <w:rsid w:val="67E675AC"/>
    <w:rsid w:val="69AF09D6"/>
    <w:rsid w:val="69EBC38D"/>
    <w:rsid w:val="69FDAAA2"/>
    <w:rsid w:val="6A7766A1"/>
    <w:rsid w:val="6BB08176"/>
    <w:rsid w:val="6BBDA3EB"/>
    <w:rsid w:val="6BCF1C87"/>
    <w:rsid w:val="6BE508C9"/>
    <w:rsid w:val="6C397A62"/>
    <w:rsid w:val="6CC10792"/>
    <w:rsid w:val="6D8D1FB7"/>
    <w:rsid w:val="6DAF0C34"/>
    <w:rsid w:val="6E737DB5"/>
    <w:rsid w:val="6EA27925"/>
    <w:rsid w:val="6EEA0DF4"/>
    <w:rsid w:val="6EF5F21F"/>
    <w:rsid w:val="6EFBD82C"/>
    <w:rsid w:val="6EFF38F4"/>
    <w:rsid w:val="6F2C465B"/>
    <w:rsid w:val="6F7DA4F9"/>
    <w:rsid w:val="6F7F5D0A"/>
    <w:rsid w:val="6FBB8D2F"/>
    <w:rsid w:val="6FBE58F9"/>
    <w:rsid w:val="6FDB0D88"/>
    <w:rsid w:val="6FDD31F4"/>
    <w:rsid w:val="6FDF2EAA"/>
    <w:rsid w:val="6FE48C19"/>
    <w:rsid w:val="6FF62866"/>
    <w:rsid w:val="6FFF6B21"/>
    <w:rsid w:val="6FFF98CF"/>
    <w:rsid w:val="70125C26"/>
    <w:rsid w:val="70756897"/>
    <w:rsid w:val="713F31F3"/>
    <w:rsid w:val="71763FC3"/>
    <w:rsid w:val="71B3169B"/>
    <w:rsid w:val="72730A68"/>
    <w:rsid w:val="72A7B745"/>
    <w:rsid w:val="72BC9EE6"/>
    <w:rsid w:val="72BF46FB"/>
    <w:rsid w:val="72FDD155"/>
    <w:rsid w:val="7377C59F"/>
    <w:rsid w:val="737AB650"/>
    <w:rsid w:val="73CFAFE7"/>
    <w:rsid w:val="73FB52F3"/>
    <w:rsid w:val="74040EA7"/>
    <w:rsid w:val="74402C27"/>
    <w:rsid w:val="74BD32F8"/>
    <w:rsid w:val="75BB83FC"/>
    <w:rsid w:val="75BFD466"/>
    <w:rsid w:val="75CFB962"/>
    <w:rsid w:val="75DA2829"/>
    <w:rsid w:val="75EF4EFD"/>
    <w:rsid w:val="76B7E39E"/>
    <w:rsid w:val="76BEC242"/>
    <w:rsid w:val="76F50E4A"/>
    <w:rsid w:val="76FB3CC7"/>
    <w:rsid w:val="76FF3415"/>
    <w:rsid w:val="76FFFABF"/>
    <w:rsid w:val="77587D16"/>
    <w:rsid w:val="77B3ABE3"/>
    <w:rsid w:val="77B95468"/>
    <w:rsid w:val="77BFA058"/>
    <w:rsid w:val="77BFE6C4"/>
    <w:rsid w:val="77D603B4"/>
    <w:rsid w:val="77DFCAD2"/>
    <w:rsid w:val="77F99301"/>
    <w:rsid w:val="77FE7B97"/>
    <w:rsid w:val="77FF85BD"/>
    <w:rsid w:val="77FFADA6"/>
    <w:rsid w:val="78FA69C9"/>
    <w:rsid w:val="78FF0B94"/>
    <w:rsid w:val="793FCA5C"/>
    <w:rsid w:val="79445043"/>
    <w:rsid w:val="795F3F89"/>
    <w:rsid w:val="795F808F"/>
    <w:rsid w:val="798C14ED"/>
    <w:rsid w:val="79C2970B"/>
    <w:rsid w:val="79E9B35F"/>
    <w:rsid w:val="79F00EF7"/>
    <w:rsid w:val="79FBEBF6"/>
    <w:rsid w:val="79FDF2E0"/>
    <w:rsid w:val="7A4DFA2D"/>
    <w:rsid w:val="7BB55781"/>
    <w:rsid w:val="7BB72F28"/>
    <w:rsid w:val="7BEF423D"/>
    <w:rsid w:val="7BF7785A"/>
    <w:rsid w:val="7BFB2F8D"/>
    <w:rsid w:val="7BFB8A31"/>
    <w:rsid w:val="7BFE251A"/>
    <w:rsid w:val="7BFFD098"/>
    <w:rsid w:val="7C7BF3DA"/>
    <w:rsid w:val="7CBC3FB5"/>
    <w:rsid w:val="7CBD7393"/>
    <w:rsid w:val="7CDB1DBF"/>
    <w:rsid w:val="7CDF9AF3"/>
    <w:rsid w:val="7D164783"/>
    <w:rsid w:val="7D2C37CA"/>
    <w:rsid w:val="7D4951C5"/>
    <w:rsid w:val="7D5CAE30"/>
    <w:rsid w:val="7DADD30A"/>
    <w:rsid w:val="7DDB8EBF"/>
    <w:rsid w:val="7DED50E5"/>
    <w:rsid w:val="7DEF8F32"/>
    <w:rsid w:val="7DFB057E"/>
    <w:rsid w:val="7DFF83FD"/>
    <w:rsid w:val="7E33D207"/>
    <w:rsid w:val="7E501B72"/>
    <w:rsid w:val="7E514B9E"/>
    <w:rsid w:val="7E960D71"/>
    <w:rsid w:val="7E9EF3FD"/>
    <w:rsid w:val="7EAD348D"/>
    <w:rsid w:val="7EAE1B8A"/>
    <w:rsid w:val="7EE2EC9B"/>
    <w:rsid w:val="7EEF8409"/>
    <w:rsid w:val="7EF72118"/>
    <w:rsid w:val="7EF730F5"/>
    <w:rsid w:val="7EFAB7EF"/>
    <w:rsid w:val="7EFE506E"/>
    <w:rsid w:val="7F2F2DA3"/>
    <w:rsid w:val="7F5C3B23"/>
    <w:rsid w:val="7F6C6323"/>
    <w:rsid w:val="7F6F0ACD"/>
    <w:rsid w:val="7F77A4A4"/>
    <w:rsid w:val="7F8F2ADC"/>
    <w:rsid w:val="7FA7CD66"/>
    <w:rsid w:val="7FAF5066"/>
    <w:rsid w:val="7FAFA680"/>
    <w:rsid w:val="7FBCC79F"/>
    <w:rsid w:val="7FBFDDCA"/>
    <w:rsid w:val="7FCA01EB"/>
    <w:rsid w:val="7FCB5C82"/>
    <w:rsid w:val="7FCF1F42"/>
    <w:rsid w:val="7FCF9666"/>
    <w:rsid w:val="7FDE1C29"/>
    <w:rsid w:val="7FE3ED65"/>
    <w:rsid w:val="7FEB6207"/>
    <w:rsid w:val="7FEE5A9F"/>
    <w:rsid w:val="7FEF0FD0"/>
    <w:rsid w:val="7FEF1D98"/>
    <w:rsid w:val="7FEF5546"/>
    <w:rsid w:val="7FEFAC0A"/>
    <w:rsid w:val="7FEFFC5D"/>
    <w:rsid w:val="7FF7024F"/>
    <w:rsid w:val="7FF7C7F1"/>
    <w:rsid w:val="7FFB6ABE"/>
    <w:rsid w:val="7FFBF1BF"/>
    <w:rsid w:val="7FFD3B1F"/>
    <w:rsid w:val="7FFE041A"/>
    <w:rsid w:val="7FFF69EE"/>
    <w:rsid w:val="7FFF8B6D"/>
    <w:rsid w:val="7FFF96C1"/>
    <w:rsid w:val="7FFFAD92"/>
    <w:rsid w:val="82FFF3E6"/>
    <w:rsid w:val="87F73FED"/>
    <w:rsid w:val="87FE3045"/>
    <w:rsid w:val="87FF8AAD"/>
    <w:rsid w:val="89EB1EBB"/>
    <w:rsid w:val="8A372119"/>
    <w:rsid w:val="8F7D4C16"/>
    <w:rsid w:val="8FBD3904"/>
    <w:rsid w:val="9477C6BE"/>
    <w:rsid w:val="96C708CA"/>
    <w:rsid w:val="97BF4E2A"/>
    <w:rsid w:val="97D55EA3"/>
    <w:rsid w:val="995F7A32"/>
    <w:rsid w:val="99E31AF2"/>
    <w:rsid w:val="9BDEDCF3"/>
    <w:rsid w:val="9D93910D"/>
    <w:rsid w:val="9E67E63A"/>
    <w:rsid w:val="9FBB9393"/>
    <w:rsid w:val="9FBEBD94"/>
    <w:rsid w:val="9FBFC03B"/>
    <w:rsid w:val="9FEFE929"/>
    <w:rsid w:val="A7FC82CA"/>
    <w:rsid w:val="AB9FAD06"/>
    <w:rsid w:val="ABA7787B"/>
    <w:rsid w:val="ADD62D7F"/>
    <w:rsid w:val="AEFFBB41"/>
    <w:rsid w:val="AFAE9E44"/>
    <w:rsid w:val="AFAFFDA3"/>
    <w:rsid w:val="AFEFBA75"/>
    <w:rsid w:val="B3FA2CDB"/>
    <w:rsid w:val="B5FD968A"/>
    <w:rsid w:val="B62F8182"/>
    <w:rsid w:val="B66B42E2"/>
    <w:rsid w:val="B6D70CAD"/>
    <w:rsid w:val="B77565A9"/>
    <w:rsid w:val="B7D9D5C6"/>
    <w:rsid w:val="B7F7FFF9"/>
    <w:rsid w:val="B7FAE7A6"/>
    <w:rsid w:val="B9FFA11F"/>
    <w:rsid w:val="BAAD4AC2"/>
    <w:rsid w:val="BAF93CFE"/>
    <w:rsid w:val="BAFD524A"/>
    <w:rsid w:val="BB3E4B78"/>
    <w:rsid w:val="BB4F772A"/>
    <w:rsid w:val="BB7B5D1C"/>
    <w:rsid w:val="BBD31432"/>
    <w:rsid w:val="BBE7C993"/>
    <w:rsid w:val="BCB9D179"/>
    <w:rsid w:val="BD773FF5"/>
    <w:rsid w:val="BDDD45D5"/>
    <w:rsid w:val="BE3FC5F8"/>
    <w:rsid w:val="BE572365"/>
    <w:rsid w:val="BEB7B5A2"/>
    <w:rsid w:val="BEFD467C"/>
    <w:rsid w:val="BF6D3FED"/>
    <w:rsid w:val="BF96F225"/>
    <w:rsid w:val="BFBF1AA5"/>
    <w:rsid w:val="BFF7457E"/>
    <w:rsid w:val="BFF94685"/>
    <w:rsid w:val="BFFBE00C"/>
    <w:rsid w:val="BFFD8CCA"/>
    <w:rsid w:val="BFFF373D"/>
    <w:rsid w:val="C01BE719"/>
    <w:rsid w:val="C12FB14C"/>
    <w:rsid w:val="C3BED7F0"/>
    <w:rsid w:val="C6DFA395"/>
    <w:rsid w:val="C7DF8659"/>
    <w:rsid w:val="C7EFB4C5"/>
    <w:rsid w:val="C9AE17C9"/>
    <w:rsid w:val="CAFBE361"/>
    <w:rsid w:val="CBFB7F1C"/>
    <w:rsid w:val="CE077C8E"/>
    <w:rsid w:val="CE9EF73E"/>
    <w:rsid w:val="CFABEA83"/>
    <w:rsid w:val="CFB14EEA"/>
    <w:rsid w:val="CFBE661C"/>
    <w:rsid w:val="CFC8F846"/>
    <w:rsid w:val="CFDEB93E"/>
    <w:rsid w:val="CFDF91AF"/>
    <w:rsid w:val="D29DD7C8"/>
    <w:rsid w:val="D3FA87CA"/>
    <w:rsid w:val="D55BB693"/>
    <w:rsid w:val="D56FD559"/>
    <w:rsid w:val="D5ADDEEA"/>
    <w:rsid w:val="D6ED844E"/>
    <w:rsid w:val="D6FB89BC"/>
    <w:rsid w:val="D7BB3D69"/>
    <w:rsid w:val="D8F5324D"/>
    <w:rsid w:val="D9FE278E"/>
    <w:rsid w:val="DA7FECBB"/>
    <w:rsid w:val="DAEB8EF8"/>
    <w:rsid w:val="DBE1FB1D"/>
    <w:rsid w:val="DBF7AA7C"/>
    <w:rsid w:val="DCE133EA"/>
    <w:rsid w:val="DD239F34"/>
    <w:rsid w:val="DD3F10A4"/>
    <w:rsid w:val="DD771E77"/>
    <w:rsid w:val="DD9FE4C7"/>
    <w:rsid w:val="DDAE9A9B"/>
    <w:rsid w:val="DDBF784E"/>
    <w:rsid w:val="DDDBCB90"/>
    <w:rsid w:val="DDFC73ED"/>
    <w:rsid w:val="DDFDB71F"/>
    <w:rsid w:val="DDFF55EE"/>
    <w:rsid w:val="DE776449"/>
    <w:rsid w:val="DE7B79D4"/>
    <w:rsid w:val="DF9EE08C"/>
    <w:rsid w:val="DFA56E38"/>
    <w:rsid w:val="DFB6950A"/>
    <w:rsid w:val="DFD9D025"/>
    <w:rsid w:val="DFEDC7E3"/>
    <w:rsid w:val="DFEEE00F"/>
    <w:rsid w:val="DFFBCB51"/>
    <w:rsid w:val="DFFFC1E4"/>
    <w:rsid w:val="DFFFCDB9"/>
    <w:rsid w:val="E0EE9F66"/>
    <w:rsid w:val="E5BF6D36"/>
    <w:rsid w:val="E62F14D2"/>
    <w:rsid w:val="E66998A3"/>
    <w:rsid w:val="E6B64568"/>
    <w:rsid w:val="E6BF40AD"/>
    <w:rsid w:val="E71C00C4"/>
    <w:rsid w:val="E7DFF732"/>
    <w:rsid w:val="E7F74440"/>
    <w:rsid w:val="E7F7FF9C"/>
    <w:rsid w:val="E7FCA087"/>
    <w:rsid w:val="EAFA68FF"/>
    <w:rsid w:val="EC7E8937"/>
    <w:rsid w:val="ED7EF1B1"/>
    <w:rsid w:val="EEBD5DEE"/>
    <w:rsid w:val="EEDF9440"/>
    <w:rsid w:val="EEF904D1"/>
    <w:rsid w:val="EEFD0531"/>
    <w:rsid w:val="EF77268F"/>
    <w:rsid w:val="EF77502E"/>
    <w:rsid w:val="EFB62F9C"/>
    <w:rsid w:val="EFBB84FB"/>
    <w:rsid w:val="EFD990D2"/>
    <w:rsid w:val="EFFCE1DC"/>
    <w:rsid w:val="EFFE4249"/>
    <w:rsid w:val="EFFF8368"/>
    <w:rsid w:val="F0E7CABC"/>
    <w:rsid w:val="F12F34D3"/>
    <w:rsid w:val="F1CB5010"/>
    <w:rsid w:val="F1DF1772"/>
    <w:rsid w:val="F2ABB539"/>
    <w:rsid w:val="F2D5EA0B"/>
    <w:rsid w:val="F3ADAD20"/>
    <w:rsid w:val="F3CC0C0D"/>
    <w:rsid w:val="F3DEE661"/>
    <w:rsid w:val="F4F72145"/>
    <w:rsid w:val="F57B5C00"/>
    <w:rsid w:val="F5FF17B0"/>
    <w:rsid w:val="F5FFC9A4"/>
    <w:rsid w:val="F6AAF20B"/>
    <w:rsid w:val="F6EE0FBA"/>
    <w:rsid w:val="F6F782D8"/>
    <w:rsid w:val="F6FFCE86"/>
    <w:rsid w:val="F72955F6"/>
    <w:rsid w:val="F7386A89"/>
    <w:rsid w:val="F76B3C36"/>
    <w:rsid w:val="F77C182F"/>
    <w:rsid w:val="F7BBA898"/>
    <w:rsid w:val="F7BC2D04"/>
    <w:rsid w:val="F7D30A6F"/>
    <w:rsid w:val="F7D321BE"/>
    <w:rsid w:val="F7E12992"/>
    <w:rsid w:val="F7ECAF62"/>
    <w:rsid w:val="F7ED6B2E"/>
    <w:rsid w:val="F7F90EF5"/>
    <w:rsid w:val="F7FE7940"/>
    <w:rsid w:val="F87DCFAA"/>
    <w:rsid w:val="F937348A"/>
    <w:rsid w:val="F97F5A80"/>
    <w:rsid w:val="F9BF6CEE"/>
    <w:rsid w:val="F9DF5B14"/>
    <w:rsid w:val="F9FF628C"/>
    <w:rsid w:val="FA475A49"/>
    <w:rsid w:val="FA95BD9B"/>
    <w:rsid w:val="FB3E6E43"/>
    <w:rsid w:val="FB7BB184"/>
    <w:rsid w:val="FB8DB4CD"/>
    <w:rsid w:val="FBA75632"/>
    <w:rsid w:val="FBB5E920"/>
    <w:rsid w:val="FBBB0523"/>
    <w:rsid w:val="FBBDD5CD"/>
    <w:rsid w:val="FBD76516"/>
    <w:rsid w:val="FBDB8D3F"/>
    <w:rsid w:val="FBE5E984"/>
    <w:rsid w:val="FBF50FDF"/>
    <w:rsid w:val="FBF82419"/>
    <w:rsid w:val="FCFDDE44"/>
    <w:rsid w:val="FCFF1122"/>
    <w:rsid w:val="FCFFC390"/>
    <w:rsid w:val="FD5FCAD2"/>
    <w:rsid w:val="FD7F2B53"/>
    <w:rsid w:val="FDBD95F3"/>
    <w:rsid w:val="FDCFD0E2"/>
    <w:rsid w:val="FDEF8CE7"/>
    <w:rsid w:val="FDF73950"/>
    <w:rsid w:val="FDFB137B"/>
    <w:rsid w:val="FDFE0A28"/>
    <w:rsid w:val="FDFE7865"/>
    <w:rsid w:val="FDFE854C"/>
    <w:rsid w:val="FDFF7348"/>
    <w:rsid w:val="FE53843A"/>
    <w:rsid w:val="FE63E38D"/>
    <w:rsid w:val="FE8F3F23"/>
    <w:rsid w:val="FE9FB296"/>
    <w:rsid w:val="FEAD7FAF"/>
    <w:rsid w:val="FED7F927"/>
    <w:rsid w:val="FEF478D4"/>
    <w:rsid w:val="FEFB240E"/>
    <w:rsid w:val="FEFB90C2"/>
    <w:rsid w:val="FEFDFF81"/>
    <w:rsid w:val="FF0E90C8"/>
    <w:rsid w:val="FF122105"/>
    <w:rsid w:val="FF19F902"/>
    <w:rsid w:val="FF45DBED"/>
    <w:rsid w:val="FF67796D"/>
    <w:rsid w:val="FF787459"/>
    <w:rsid w:val="FF79F744"/>
    <w:rsid w:val="FF9F0D12"/>
    <w:rsid w:val="FFAC2360"/>
    <w:rsid w:val="FFBEBC61"/>
    <w:rsid w:val="FFBEC187"/>
    <w:rsid w:val="FFBF8C54"/>
    <w:rsid w:val="FFCED35A"/>
    <w:rsid w:val="FFD77677"/>
    <w:rsid w:val="FFD9DC51"/>
    <w:rsid w:val="FFED35B3"/>
    <w:rsid w:val="FFF19345"/>
    <w:rsid w:val="FFF31E6F"/>
    <w:rsid w:val="FFF3B9EB"/>
    <w:rsid w:val="FFF3CBB4"/>
    <w:rsid w:val="FFF74A24"/>
    <w:rsid w:val="FFF7845C"/>
    <w:rsid w:val="FFF7D878"/>
    <w:rsid w:val="FFF86375"/>
    <w:rsid w:val="FFFB59D9"/>
    <w:rsid w:val="FFFB720B"/>
    <w:rsid w:val="FFFF8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仿宋" w:cs="Times New Roman"/>
      <w:b/>
      <w:kern w:val="44"/>
      <w:sz w:val="44"/>
      <w:szCs w:val="22"/>
      <w:lang w:bidi="ar-SA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next w:val="5"/>
    <w:qFormat/>
    <w:uiPriority w:val="99"/>
    <w:pPr>
      <w:widowControl/>
      <w:spacing w:after="140" w:line="273" w:lineRule="auto"/>
    </w:pPr>
    <w:rPr>
      <w:rFonts w:ascii="Calibri" w:hAnsi="Calibri" w:eastAsia="宋体" w:cs="Times New Roman"/>
      <w:sz w:val="21"/>
      <w:szCs w:val="21"/>
      <w:lang w:bidi="ar-SA"/>
    </w:rPr>
  </w:style>
  <w:style w:type="paragraph" w:styleId="5">
    <w:name w:val="Body Text 2"/>
    <w:basedOn w:val="1"/>
    <w:qFormat/>
    <w:uiPriority w:val="99"/>
    <w:pPr>
      <w:widowControl/>
      <w:spacing w:after="120" w:line="480" w:lineRule="auto"/>
    </w:pPr>
    <w:rPr>
      <w:rFonts w:ascii="Calibri" w:hAnsi="Calibri" w:eastAsia="宋体" w:cs="宋体"/>
      <w:sz w:val="21"/>
      <w:szCs w:val="22"/>
      <w:lang w:bidi="ar-SA"/>
    </w:rPr>
  </w:style>
  <w:style w:type="paragraph" w:styleId="6">
    <w:name w:val="Body Text Indent"/>
    <w:basedOn w:val="1"/>
    <w:next w:val="7"/>
    <w:qFormat/>
    <w:uiPriority w:val="0"/>
    <w:pPr>
      <w:widowControl/>
      <w:spacing w:line="560" w:lineRule="exact"/>
      <w:ind w:left="420" w:leftChars="200"/>
    </w:pPr>
    <w:rPr>
      <w:rFonts w:ascii="Calibri" w:hAnsi="Calibri" w:eastAsia="宋体" w:cs="宋体"/>
      <w:sz w:val="21"/>
      <w:szCs w:val="22"/>
      <w:lang w:bidi="ar-SA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Date"/>
    <w:basedOn w:val="1"/>
    <w:next w:val="1"/>
    <w:link w:val="20"/>
    <w:uiPriority w:val="0"/>
    <w:pPr>
      <w:ind w:left="100" w:leftChars="2500"/>
    </w:pPr>
    <w:rPr>
      <w:rFonts w:ascii="仿宋_GB2312" w:eastAsia="仿宋_GB2312"/>
      <w:sz w:val="32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 w:line="560" w:lineRule="exact"/>
      <w:jc w:val="left"/>
    </w:pPr>
    <w:rPr>
      <w:rFonts w:ascii="Calibri" w:hAnsi="Calibri" w:eastAsia="宋体" w:cs="Times New Roman"/>
      <w:kern w:val="0"/>
      <w:sz w:val="24"/>
      <w:szCs w:val="22"/>
      <w:lang w:bidi="ar-SA"/>
    </w:rPr>
  </w:style>
  <w:style w:type="paragraph" w:styleId="12">
    <w:name w:val="Title"/>
    <w:basedOn w:val="1"/>
    <w:next w:val="1"/>
    <w:qFormat/>
    <w:uiPriority w:val="0"/>
    <w:pPr>
      <w:widowControl/>
      <w:spacing w:line="560" w:lineRule="exact"/>
      <w:ind w:firstLine="880" w:firstLineChars="200"/>
      <w:outlineLvl w:val="0"/>
    </w:pPr>
    <w:rPr>
      <w:rFonts w:ascii="Arial" w:hAnsi="Arial" w:eastAsia="方正仿宋简体" w:cs="Times New Roman"/>
      <w:sz w:val="32"/>
      <w:szCs w:val="22"/>
      <w:lang w:bidi="ar-SA"/>
    </w:rPr>
  </w:style>
  <w:style w:type="paragraph" w:styleId="13">
    <w:name w:val="Body Text First Indent"/>
    <w:basedOn w:val="4"/>
    <w:next w:val="1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14">
    <w:name w:val="Body Text First Indent 2"/>
    <w:basedOn w:val="6"/>
    <w:next w:val="1"/>
    <w:qFormat/>
    <w:uiPriority w:val="0"/>
    <w:pPr>
      <w:tabs>
        <w:tab w:val="left" w:pos="1276"/>
      </w:tabs>
      <w:ind w:firstLine="420"/>
    </w:pPr>
    <w:rPr>
      <w:rFonts w:ascii="Times New Roman" w:hAnsi="Times New Roman" w:cs="Calibri"/>
      <w:szCs w:val="21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page number"/>
    <w:basedOn w:val="17"/>
    <w:uiPriority w:val="0"/>
  </w:style>
  <w:style w:type="character" w:customStyle="1" w:styleId="19">
    <w:name w:val="页脚 Char"/>
    <w:basedOn w:val="17"/>
    <w:link w:val="7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20">
    <w:name w:val=" Char Char2"/>
    <w:basedOn w:val="17"/>
    <w:link w:val="8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1">
    <w:name w:val="页眉 Char"/>
    <w:basedOn w:val="17"/>
    <w:link w:val="10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22">
    <w:name w:val=" Char Char1"/>
    <w:basedOn w:val="1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3">
    <w:name w:val=" Char Char"/>
    <w:basedOn w:val="17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4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2023-09-20T01:37:22Z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