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hint="eastAsia" w:ascii="方正黑体简体" w:hAnsi="宋体" w:eastAsia="方正黑体简体"/>
          <w:bCs/>
          <w:smallCaps/>
          <w:color w:val="000000"/>
          <w:spacing w:val="-2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spacing w:val="-20"/>
          <w:kern w:val="0"/>
          <w:sz w:val="32"/>
          <w:szCs w:val="32"/>
        </w:rPr>
        <w:t xml:space="preserve">附件1 </w:t>
      </w:r>
    </w:p>
    <w:p>
      <w:pPr>
        <w:widowControl/>
        <w:spacing w:line="580" w:lineRule="exact"/>
        <w:rPr>
          <w:rFonts w:ascii="宋体" w:hAnsi="宋体"/>
          <w:bCs/>
          <w:smallCaps/>
          <w:color w:val="000000"/>
          <w:spacing w:val="-20"/>
          <w:kern w:val="0"/>
          <w:sz w:val="32"/>
          <w:szCs w:val="32"/>
        </w:rPr>
      </w:pPr>
    </w:p>
    <w:p>
      <w:pPr>
        <w:widowControl/>
        <w:spacing w:line="580" w:lineRule="exact"/>
        <w:ind w:left="315"/>
        <w:jc w:val="center"/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  <w:t>第四批自治区级林业产业化</w:t>
      </w:r>
    </w:p>
    <w:p>
      <w:pPr>
        <w:widowControl/>
        <w:spacing w:line="580" w:lineRule="exact"/>
        <w:ind w:left="315"/>
        <w:jc w:val="center"/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mallCaps/>
          <w:color w:val="000000"/>
          <w:kern w:val="0"/>
          <w:sz w:val="44"/>
          <w:szCs w:val="44"/>
        </w:rPr>
        <w:t>重点龙头企业名单</w:t>
      </w:r>
    </w:p>
    <w:bookmarkEnd w:id="0"/>
    <w:p>
      <w:pPr>
        <w:widowControl/>
        <w:spacing w:line="580" w:lineRule="exact"/>
        <w:ind w:firstLine="156" w:firstLineChars="49"/>
        <w:jc w:val="center"/>
        <w:rPr>
          <w:rFonts w:ascii="宋体" w:hAnsi="宋体"/>
          <w:bCs/>
          <w:smallCaps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156" w:firstLineChars="49"/>
        <w:jc w:val="center"/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  <w:t>（共18家）</w:t>
      </w:r>
    </w:p>
    <w:p>
      <w:pPr>
        <w:widowControl/>
        <w:spacing w:line="580" w:lineRule="exact"/>
        <w:ind w:firstLine="156" w:firstLineChars="49"/>
        <w:jc w:val="center"/>
        <w:rPr>
          <w:rFonts w:hint="eastAsia" w:ascii="方正楷体简体" w:hAnsi="宋体" w:eastAsia="方正楷体简体"/>
          <w:bCs/>
          <w:smallCaps/>
          <w:color w:val="000000"/>
          <w:kern w:val="0"/>
          <w:sz w:val="32"/>
          <w:szCs w:val="32"/>
        </w:rPr>
      </w:pP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呼和浩特市（2家）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内蒙古博煜农林牧开发有限公司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内蒙古绿华园林工程有限公司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包头市（1家）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包头智茂元生态农业科技有限公司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兴安盟（5家）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科右中旗中谷沃农林发展有限公司 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内蒙古宝润红酒有限公司 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内蒙古科沁万佳食品有限公司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科右前旗金口味食品有限公司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内蒙古森艺园林绿化有限公司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通辽市（1家）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内蒙古东绿生态集团股份有限公司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锡林郭勒盟（2家）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内蒙古绿草堂药业有限责任公司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内蒙古国华园林绿化有限责任公司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鄂尔多斯市（1家）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内蒙古伊泰北牧田园资源开发有限公司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巴彦淖尔市（4家）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巴彦淖尔市锦泰源现代农牧业科技有限公司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内蒙古立亚东农林牧开发有限公司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内蒙古金丰农牧林生物科技有限公司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>内蒙古乌拉特前旗青松草业贸易有限责任公司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乌海市（1家）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内蒙古吉奥尼葡萄酒业有限责任公司  </w:t>
      </w:r>
    </w:p>
    <w:p>
      <w:pPr>
        <w:widowControl/>
        <w:spacing w:line="580" w:lineRule="exact"/>
        <w:ind w:firstLine="640" w:firstLineChars="200"/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黑体简体" w:hAnsi="宋体" w:eastAsia="方正黑体简体"/>
          <w:bCs/>
          <w:smallCaps/>
          <w:color w:val="000000"/>
          <w:kern w:val="0"/>
          <w:sz w:val="32"/>
          <w:szCs w:val="32"/>
        </w:rPr>
        <w:t>阿拉善盟（1家）</w:t>
      </w:r>
    </w:p>
    <w:p>
      <w:pPr>
        <w:widowControl/>
        <w:spacing w:line="580" w:lineRule="exact"/>
        <w:ind w:firstLine="640" w:firstLineChars="200"/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简体" w:hAnsi="宋体" w:eastAsia="方正仿宋简体"/>
          <w:bCs/>
          <w:smallCaps/>
          <w:color w:val="000000"/>
          <w:kern w:val="0"/>
          <w:sz w:val="32"/>
          <w:szCs w:val="32"/>
        </w:rPr>
        <w:t xml:space="preserve">内蒙古阿拉善苁蓉集团有限责任公司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D39A1"/>
    <w:rsid w:val="63ED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2019-04-09T02:51:00Z</dcterms:created>
  <dc:creator>bgt</dc:creator>
  <cp:lastModifiedBy>bgt</cp:lastModifiedBy>
  <dcterms:modified xsi:type="dcterms:W3CDTF">2019-04-09T02:51:29Z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