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方正黑体简体" w:hAnsi="宋体" w:eastAsia="方正黑体简体"/>
          <w:bCs/>
          <w:smallCaps/>
          <w:color w:val="000000"/>
          <w:spacing w:val="-2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spacing w:val="-20"/>
          <w:kern w:val="0"/>
          <w:sz w:val="32"/>
          <w:szCs w:val="32"/>
        </w:rPr>
        <w:t xml:space="preserve">附件2 </w:t>
      </w:r>
    </w:p>
    <w:p>
      <w:pPr>
        <w:widowControl/>
        <w:spacing w:line="580" w:lineRule="exact"/>
        <w:rPr>
          <w:rFonts w:hint="eastAsia" w:ascii="方正黑体简体" w:hAnsi="宋体" w:eastAsia="方正黑体简体"/>
          <w:bCs/>
          <w:smallCaps/>
          <w:color w:val="000000"/>
          <w:spacing w:val="-2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黑体简体" w:hAnsi="宋体" w:eastAsia="方正黑体简体"/>
          <w:bCs/>
          <w:smallCap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mallCaps/>
          <w:color w:val="000000"/>
          <w:spacing w:val="-20"/>
          <w:kern w:val="0"/>
          <w:sz w:val="44"/>
          <w:szCs w:val="44"/>
        </w:rPr>
        <w:t>一、</w:t>
      </w:r>
      <w:r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  <w:t>二、三批自治区级林业</w:t>
      </w:r>
    </w:p>
    <w:p>
      <w:pPr>
        <w:widowControl/>
        <w:spacing w:line="580" w:lineRule="exact"/>
        <w:ind w:left="315"/>
        <w:jc w:val="center"/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  <w:t>产业化重点龙头企业监测合格企业名单</w:t>
      </w:r>
    </w:p>
    <w:p>
      <w:pPr>
        <w:widowControl/>
        <w:spacing w:line="580" w:lineRule="exact"/>
        <w:ind w:firstLine="156" w:firstLineChars="49"/>
        <w:jc w:val="center"/>
        <w:rPr>
          <w:rFonts w:ascii="宋体" w:hAnsi="宋体"/>
          <w:bCs/>
          <w:smallCaps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156" w:firstLineChars="49"/>
        <w:jc w:val="center"/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  <w:t>（共46家）</w:t>
      </w:r>
    </w:p>
    <w:p>
      <w:pPr>
        <w:widowControl/>
        <w:spacing w:line="580" w:lineRule="exact"/>
        <w:ind w:firstLine="156" w:firstLineChars="49"/>
        <w:jc w:val="center"/>
        <w:rPr>
          <w:rFonts w:hint="eastAsia" w:ascii="方正楷体简体" w:hAnsi="宋体" w:eastAsia="方正楷体简体"/>
          <w:bCs/>
          <w:smallCaps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呼和浩特市（4家）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内蒙古宇航人高技术产业有限责任公司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内蒙古和盛生态育林有限公司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内蒙古蒙草生态环境（集团）股份有限公司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内蒙古德兰生态建设监理有限责任公司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包头市（3家）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内蒙古圣鹿源生物科技股份有限公司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内蒙古天龙生态环境发展有限公司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俏东方生物燃料集团有限公司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呼伦贝尔市（3家）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根河市根林木业有限责任公司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内蒙古大兴安岭浆纸有限责任公司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呼伦贝尔市宜生木业有限责任公司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兴安盟（2家）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内蒙古森发林业开发（集团）有限公司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内蒙古大兴安阿尔山旅游开发有限责任公司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通辽市（6家）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奈曼旗天兴民族木业有限公司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通辽市锦秀木业有限公司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内蒙古美林实业集团有限公司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通辽昌盛木业有限公司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开鲁县森洋木业有限责任公司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科左后旗大青沟旅游开发公司 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赤峰市（7家）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内蒙古健元鹿业有限责任公司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内蒙古林源鹿业有限责任公司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内蒙古沙漠之花生态产业科技有限公司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内蒙古弘坤蒙野酒业有限责任公司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赤峰天虹花卉市场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赤峰市大北海现代农业科技有限责任公司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内蒙古原野生物工程有限公司 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锡林郭勒盟（1家）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多伦县大地天然食品有限责任公司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乌兰察布市（1家）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内蒙古中泰农旅投资有限公司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鄂尔多斯市（8家）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内蒙古高原杏仁露有限公司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鄂尔多斯市天骄资源发展有限责任公司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内蒙古毛乌素生物质热电有限公司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鄂尔多斯市碧森种业有限责任公司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kern w:val="0"/>
          <w:sz w:val="32"/>
          <w:szCs w:val="32"/>
        </w:rPr>
        <w:t>鄂尔多斯市银海生态开发有限责任公司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鄂尔多斯市金泰生园林绿化有限责任公司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鄂尔多斯市源丰投资有限责任公司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亿利资源集团有限公司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巴彦淖尔市（5家）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内蒙古王爷地苁蓉生物有限公司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内蒙古游牧一族生物科技有限公司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内蒙古诺民农林开发有限公司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巴彦淖尔市纳林湖生态旅游开发有限公司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内蒙古帝泰农林开发有限公司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乌海市（4家）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乌海市金田农业开发有限责任公司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乌海市云飞农业种养科技有限公司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内蒙古汉森葡萄酒业有限公司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乌海市阳光田宇农业科技发展有限责任公司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阿拉善盟（2家）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内蒙古曼德拉沙产业开发有限公司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内蒙古金沙苑生态集团有限公司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4433A"/>
    <w:rsid w:val="6CD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2019-04-09T02:51:00Z</dcterms:created>
  <dc:creator>bgt</dc:creator>
  <cp:lastModifiedBy>bgt</cp:lastModifiedBy>
  <dcterms:modified xsi:type="dcterms:W3CDTF">2019-04-09T02:52:02Z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